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{sryArea}大气环境智能走航监测季度分析报告</w:t>
      </w:r>
    </w:p>
    <w:p w14:paraId="031A0336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【{subTitle}】</w:t>
      </w:r>
    </w:p>
    <w:p w14:paraId="4EF29DE2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走航溯源清单</w:t>
      </w:r>
    </w:p>
    <w:p w14:paraId="0C444063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1.溯源清单</w:t>
      </w:r>
    </w:p>
    <w:p w14:paraId="4F4566E5">
      <w:pPr>
        <w:rPr>
          <w:rFonts w:hint="default"/>
          <w:lang w:val="en-US" w:eastAsia="zh-CN"/>
        </w:rPr>
      </w:pPr>
    </w:p>
    <w:p w14:paraId="3CA4D653">
      <w:pPr>
        <w:bidi w:val="0"/>
        <w:jc w:val="center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走航监测溯源清单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5ADDC949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2.监测因子数据清单</w:t>
      </w:r>
    </w:p>
    <w:p w14:paraId="743A2E23">
      <w:pPr>
        <w:rPr>
          <w:rFonts w:hint="eastAsia"/>
          <w:lang w:val="en-US" w:eastAsia="zh-CN"/>
        </w:rPr>
      </w:pPr>
    </w:p>
    <w:p w14:paraId="382DDA7B">
      <w:pPr>
        <w:bidi w:val="0"/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监测因子的数据统计清单</w:t>
      </w:r>
    </w:p>
    <w:p w14:paraId="122254CB">
      <w:pPr>
        <w:bidi w:val="0"/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（采用分钟均值数据进行统计，单位为μg/m³）</w:t>
      </w:r>
    </w:p>
    <w:tbl>
      <w:tblPr>
        <w:tblStyle w:val="13"/>
        <w:tblW w:w="5259" w:type="pct"/>
        <w:tblInd w:w="-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188"/>
        <w:gridCol w:w="1485"/>
        <w:gridCol w:w="795"/>
        <w:gridCol w:w="825"/>
        <w:gridCol w:w="765"/>
        <w:gridCol w:w="720"/>
        <w:gridCol w:w="750"/>
        <w:gridCol w:w="840"/>
        <w:gridCol w:w="810"/>
        <w:gridCol w:w="795"/>
        <w:gridCol w:w="795"/>
        <w:gridCol w:w="750"/>
        <w:gridCol w:w="780"/>
        <w:gridCol w:w="840"/>
        <w:gridCol w:w="720"/>
        <w:gridCol w:w="825"/>
        <w:gridCol w:w="750"/>
      </w:tblGrid>
      <w:tr w14:paraId="1A578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" w:type="pct"/>
            <w:vMerge w:val="restart"/>
            <w:shd w:val="clear" w:color="auto" w:fill="F1F1F1" w:themeFill="background1" w:themeFillShade="F2"/>
            <w:vAlign w:val="center"/>
          </w:tcPr>
          <w:p w14:paraId="113B65E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2B40BE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97" w:type="pct"/>
            <w:vMerge w:val="restart"/>
            <w:shd w:val="clear" w:color="auto" w:fill="F1F1F1" w:themeFill="background1" w:themeFillShade="F2"/>
            <w:vAlign w:val="center"/>
          </w:tcPr>
          <w:p w14:paraId="47D06F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空气质量（AQI）</w:t>
            </w:r>
          </w:p>
        </w:tc>
        <w:tc>
          <w:tcPr>
            <w:tcW w:w="799" w:type="pct"/>
            <w:gridSpan w:val="3"/>
            <w:shd w:val="clear" w:color="auto" w:fill="F1F1F1" w:themeFill="background1" w:themeFillShade="F2"/>
          </w:tcPr>
          <w:p w14:paraId="0ABEB5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774" w:type="pct"/>
            <w:gridSpan w:val="3"/>
            <w:shd w:val="clear" w:color="auto" w:fill="F1F1F1" w:themeFill="background1" w:themeFillShade="F2"/>
          </w:tcPr>
          <w:p w14:paraId="50C071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804" w:type="pct"/>
            <w:gridSpan w:val="3"/>
            <w:shd w:val="clear" w:color="auto" w:fill="F1F1F1" w:themeFill="background1" w:themeFillShade="F2"/>
          </w:tcPr>
          <w:p w14:paraId="4C00D7F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794" w:type="pct"/>
            <w:gridSpan w:val="3"/>
            <w:shd w:val="clear" w:color="auto" w:fill="F1F1F1" w:themeFill="background1" w:themeFillShade="F2"/>
          </w:tcPr>
          <w:p w14:paraId="0E223B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769" w:type="pct"/>
            <w:gridSpan w:val="3"/>
            <w:shd w:val="clear" w:color="auto" w:fill="F1F1F1" w:themeFill="background1" w:themeFillShade="F2"/>
          </w:tcPr>
          <w:p w14:paraId="70C8C58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29B7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" w:type="pct"/>
            <w:vMerge w:val="continue"/>
            <w:shd w:val="clear" w:color="auto" w:fill="F1F1F1" w:themeFill="background1" w:themeFillShade="F2"/>
            <w:vAlign w:val="top"/>
          </w:tcPr>
          <w:p w14:paraId="5A8F076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top"/>
          </w:tcPr>
          <w:p w14:paraId="77BB4EA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" w:type="pct"/>
            <w:vMerge w:val="continue"/>
            <w:shd w:val="clear" w:color="auto" w:fill="F1F1F1" w:themeFill="background1" w:themeFillShade="F2"/>
            <w:vAlign w:val="top"/>
          </w:tcPr>
          <w:p w14:paraId="613FC7F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" w:type="pct"/>
            <w:shd w:val="clear" w:color="auto" w:fill="F1F1F1" w:themeFill="background1" w:themeFillShade="F2"/>
            <w:vAlign w:val="top"/>
          </w:tcPr>
          <w:p w14:paraId="6A725D6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76" w:type="pct"/>
            <w:shd w:val="clear" w:color="auto" w:fill="F1F1F1" w:themeFill="background1" w:themeFillShade="F2"/>
            <w:vAlign w:val="top"/>
          </w:tcPr>
          <w:p w14:paraId="31915D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56" w:type="pct"/>
            <w:shd w:val="clear" w:color="auto" w:fill="F1F1F1" w:themeFill="background1" w:themeFillShade="F2"/>
            <w:vAlign w:val="top"/>
          </w:tcPr>
          <w:p w14:paraId="55AC559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41" w:type="pct"/>
            <w:shd w:val="clear" w:color="auto" w:fill="F1F1F1" w:themeFill="background1" w:themeFillShade="F2"/>
            <w:vAlign w:val="top"/>
          </w:tcPr>
          <w:p w14:paraId="683B239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51" w:type="pct"/>
            <w:shd w:val="clear" w:color="auto" w:fill="F1F1F1" w:themeFill="background1" w:themeFillShade="F2"/>
            <w:vAlign w:val="top"/>
          </w:tcPr>
          <w:p w14:paraId="587981D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81" w:type="pct"/>
            <w:shd w:val="clear" w:color="auto" w:fill="F1F1F1" w:themeFill="background1" w:themeFillShade="F2"/>
            <w:vAlign w:val="top"/>
          </w:tcPr>
          <w:p w14:paraId="4F65B22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71" w:type="pct"/>
            <w:shd w:val="clear" w:color="auto" w:fill="F1F1F1" w:themeFill="background1" w:themeFillShade="F2"/>
            <w:vAlign w:val="top"/>
          </w:tcPr>
          <w:p w14:paraId="30373A8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66" w:type="pct"/>
            <w:shd w:val="clear" w:color="auto" w:fill="F1F1F1" w:themeFill="background1" w:themeFillShade="F2"/>
            <w:vAlign w:val="top"/>
          </w:tcPr>
          <w:p w14:paraId="74EEAC4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66" w:type="pct"/>
            <w:shd w:val="clear" w:color="auto" w:fill="F1F1F1" w:themeFill="background1" w:themeFillShade="F2"/>
            <w:vAlign w:val="top"/>
          </w:tcPr>
          <w:p w14:paraId="1772CC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51" w:type="pct"/>
            <w:shd w:val="clear" w:color="auto" w:fill="F1F1F1" w:themeFill="background1" w:themeFillShade="F2"/>
            <w:vAlign w:val="top"/>
          </w:tcPr>
          <w:p w14:paraId="5B24141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61" w:type="pct"/>
            <w:shd w:val="clear" w:color="auto" w:fill="F1F1F1" w:themeFill="background1" w:themeFillShade="F2"/>
            <w:vAlign w:val="top"/>
          </w:tcPr>
          <w:p w14:paraId="56EC8A0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81" w:type="pct"/>
            <w:shd w:val="clear" w:color="auto" w:fill="F1F1F1" w:themeFill="background1" w:themeFillShade="F2"/>
            <w:vAlign w:val="top"/>
          </w:tcPr>
          <w:p w14:paraId="693DFA0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41" w:type="pct"/>
            <w:shd w:val="clear" w:color="auto" w:fill="F1F1F1" w:themeFill="background1" w:themeFillShade="F2"/>
            <w:vAlign w:val="top"/>
          </w:tcPr>
          <w:p w14:paraId="3FF3A63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76" w:type="pct"/>
            <w:shd w:val="clear" w:color="auto" w:fill="F1F1F1" w:themeFill="background1" w:themeFillShade="F2"/>
            <w:vAlign w:val="top"/>
          </w:tcPr>
          <w:p w14:paraId="5D20BD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51" w:type="pct"/>
            <w:shd w:val="clear" w:color="auto" w:fill="F1F1F1" w:themeFill="background1" w:themeFillShade="F2"/>
            <w:vAlign w:val="top"/>
          </w:tcPr>
          <w:p w14:paraId="4492F6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1F425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" w:type="pct"/>
            <w:vAlign w:val="top"/>
          </w:tcPr>
          <w:p w14:paraId="2585B8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{#missionDetailList}{_index}</w:t>
            </w:r>
          </w:p>
        </w:tc>
        <w:tc>
          <w:tcPr>
            <w:tcW w:w="1188" w:type="dxa"/>
            <w:vAlign w:val="top"/>
          </w:tcPr>
          <w:p w14:paraId="5D7012B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{missionCode}</w:t>
            </w:r>
          </w:p>
        </w:tc>
        <w:tc>
          <w:tcPr>
            <w:tcW w:w="1485" w:type="dxa"/>
            <w:vAlign w:val="top"/>
          </w:tcPr>
          <w:p w14:paraId="438666D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795" w:type="dxa"/>
            <w:vAlign w:val="top"/>
          </w:tcPr>
          <w:p w14:paraId="7A92BD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25" w:type="dxa"/>
            <w:vAlign w:val="top"/>
          </w:tcPr>
          <w:p w14:paraId="22669A8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765" w:type="dxa"/>
            <w:vAlign w:val="top"/>
          </w:tcPr>
          <w:p w14:paraId="46DA2A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720" w:type="dxa"/>
            <w:shd w:val="clear" w:color="auto" w:fill="auto"/>
            <w:vAlign w:val="top"/>
          </w:tcPr>
          <w:p w14:paraId="6BEAD6A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1675EF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40" w:type="dxa"/>
            <w:shd w:val="clear" w:color="auto" w:fill="auto"/>
            <w:vAlign w:val="top"/>
          </w:tcPr>
          <w:p w14:paraId="6D1E12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10" w:type="dxa"/>
            <w:shd w:val="clear" w:color="auto" w:fill="auto"/>
            <w:vAlign w:val="top"/>
          </w:tcPr>
          <w:p w14:paraId="1248F89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795" w:type="dxa"/>
            <w:shd w:val="clear" w:color="auto" w:fill="auto"/>
            <w:vAlign w:val="top"/>
          </w:tcPr>
          <w:p w14:paraId="1BA1CEB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795" w:type="dxa"/>
            <w:shd w:val="clear" w:color="auto" w:fill="auto"/>
            <w:vAlign w:val="top"/>
          </w:tcPr>
          <w:p w14:paraId="2CD2F60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310C59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10F2C7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40" w:type="dxa"/>
            <w:shd w:val="clear" w:color="auto" w:fill="auto"/>
            <w:vAlign w:val="top"/>
          </w:tcPr>
          <w:p w14:paraId="00D30A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720" w:type="dxa"/>
            <w:shd w:val="clear" w:color="auto" w:fill="auto"/>
            <w:vAlign w:val="top"/>
          </w:tcPr>
          <w:p w14:paraId="73EF61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762AF1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71B1393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580B31BF">
      <w:pPr>
        <w:bidi w:val="0"/>
        <w:jc w:val="center"/>
        <w:rPr>
          <w:rFonts w:hint="eastAsia"/>
          <w:b/>
          <w:bCs/>
          <w:sz w:val="21"/>
          <w:szCs w:val="21"/>
          <w:lang w:val="en-US" w:eastAsia="zh-CN"/>
        </w:rPr>
      </w:pPr>
    </w:p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4"/>
        <w:numPr>
          <w:ilvl w:val="0"/>
          <w:numId w:val="0"/>
        </w:numPr>
        <w:bidi w:val="0"/>
        <w:ind w:left="420" w:leftChars="0"/>
        <w:rPr>
          <w:rFonts w:hint="eastAsia" w:asciiTheme="majorEastAsia" w:hAnsiTheme="majorEastAsia" w:eastAsiaTheme="majorEastAsia" w:cstheme="majorEastAsia"/>
          <w:sz w:val="24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1"/>
          <w:lang w:val="en-US" w:eastAsia="zh-CN"/>
        </w:rPr>
        <w:t>({index}) 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p w14:paraId="04C50F7F">
      <w:pPr>
        <w:pStyle w:val="6"/>
        <w:numPr>
          <w:ilvl w:val="0"/>
          <w:numId w:val="3"/>
        </w:numPr>
        <w:bidi w:val="0"/>
        <w:ind w:left="0" w:leftChars="0" w:firstLine="482" w:firstLineChars="200"/>
        <w:outlineLvl w:val="4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{_title}</w:t>
      </w:r>
    </w:p>
    <w:p w14:paraId="46E82D10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{#showPollutedArea}</w:t>
      </w:r>
    </w:p>
    <w:p w14:paraId="2CA7ED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vertAlign w:val="baseline"/>
          <w:lang w:val="en-US" w:eastAsia="zh-CN"/>
        </w:rPr>
        <w:t>【时段】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</w:t>
      </w:r>
      <w:r>
        <w:rPr>
          <w:rFonts w:hint="default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_time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}</w:t>
      </w:r>
    </w:p>
    <w:p w14:paraId="29C348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vertAlign w:val="baseline"/>
          <w:lang w:val="en-US" w:eastAsia="zh-CN"/>
        </w:rPr>
        <w:t>【因子】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{_factorNames}</w:t>
      </w:r>
    </w:p>
    <w:p w14:paraId="6DDFE8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【</w:t>
      </w:r>
      <w:r>
        <w:rPr>
          <w:rFonts w:hint="eastAsia" w:asciiTheme="minorEastAsia" w:hAnsiTheme="minorEastAsia" w:cstheme="minorEastAsia"/>
          <w:b/>
          <w:bCs/>
          <w:sz w:val="24"/>
          <w:szCs w:val="32"/>
          <w:vertAlign w:val="baseline"/>
          <w:lang w:val="en-US" w:eastAsia="zh-CN"/>
        </w:rPr>
        <w:t>异常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】{_exceptionType}</w:t>
      </w:r>
    </w:p>
    <w:p w14:paraId="3E08D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位于{_riskRegion}，{_conclusion}</w:t>
      </w:r>
    </w:p>
    <w:p w14:paraId="407866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{#_hasScene}{#_scenes}{des}</w:t>
      </w:r>
    </w:p>
    <w:p w14:paraId="4D03B0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{/_scenes}{/_hasScene}{^_hasScene}{/_hasScene}</w:t>
      </w:r>
    </w:p>
    <w:p w14:paraId="377E39A0">
      <w:pP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{/showPollutedArea}</w:t>
      </w:r>
    </w:p>
    <w:p w14:paraId="6E583155">
      <w:pP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{^showPollutedArea}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06664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9C99B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</w:t>
            </w:r>
          </w:p>
          <w:p w14:paraId="02A5D81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区域</w:t>
            </w:r>
          </w:p>
        </w:tc>
        <w:tc>
          <w:tcPr>
            <w:tcW w:w="6626" w:type="dxa"/>
            <w:gridSpan w:val="2"/>
          </w:tcPr>
          <w:p w14:paraId="26BE452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0F1334B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</w:t>
            </w:r>
          </w:p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图</w:t>
            </w:r>
          </w:p>
        </w:tc>
        <w:tc>
          <w:tcPr>
            <w:tcW w:w="6626" w:type="dxa"/>
            <w:gridSpan w:val="2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DD4662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解析</w:t>
            </w:r>
          </w:p>
        </w:tc>
        <w:tc>
          <w:tcPr>
            <w:tcW w:w="6626" w:type="dxa"/>
            <w:gridSpan w:val="2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14D4B50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场景</w:t>
            </w:r>
          </w:p>
        </w:tc>
        <w:tc>
          <w:tcPr>
            <w:tcW w:w="6626" w:type="dxa"/>
            <w:gridSpan w:val="2"/>
          </w:tcPr>
          <w:p w14:paraId="156176B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{#_scenes}</w:t>
            </w:r>
          </w:p>
          <w:p w14:paraId="73745B4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{des}</w:t>
            </w:r>
          </w:p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{/_scenes}{/_hasScene}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75B5CC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{/showPollutedArea}</w:t>
      </w: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02724822">
      <w:pPr>
        <w:rPr>
          <w:rFonts w:hint="eastAsia" w:eastAsia="微软雅黑" w:asciiTheme="minorAscii" w:hAnsiTheme="minorAscii"/>
          <w:sz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F39600D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3"/>
        <w:numPr>
          <w:ilvl w:val="0"/>
          <w:numId w:val="4"/>
        </w:numPr>
        <w:bidi w:val="0"/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Style w:val="4"/>
        <w:numPr>
          <w:ilvl w:val="0"/>
          <w:numId w:val="0"/>
        </w:numPr>
        <w:bidi w:val="0"/>
        <w:ind w:left="840" w:leftChars="0"/>
        <w:rPr>
          <w:rFonts w:hint="default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({index}) {factor}叠加融合</w:t>
      </w:r>
    </w:p>
    <w:p w14:paraId="1CD4DA8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 xml:space="preserve">{%gridImgUrl1} </w:t>
      </w:r>
    </w:p>
    <w:p w14:paraId="395BF45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4BC2E4C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413A7B5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根据网格融合图分析，本区辖区内风险相对最高的前三个网格如下：</w:t>
      </w:r>
    </w:p>
    <w:p w14:paraId="5586F0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{#infoDes}</w:t>
      </w:r>
    </w:p>
    <w:p w14:paraId="2754906E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{town}（四至范围{_boundsDes}），该网格内的监测值为{factorValue}μg/m³，{_scenesDes}。</w:t>
      </w:r>
    </w:p>
    <w:p w14:paraId="2E46BF4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{/infoDes}</w:t>
      </w:r>
    </w:p>
    <w:p w14:paraId="32BE6D0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0F35DC6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根据网格融合图分析，走航区域内风险相对最高的前三个网格如下：</w:t>
      </w:r>
    </w:p>
    <w:p w14:paraId="3F626FD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{#infoDes2}</w:t>
      </w:r>
    </w:p>
    <w:p w14:paraId="6B1BE56E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{town}（四至范围{_boundsDes}），该网格内的监测值为{factorValue}μg/m³，{_scenesDes}。</w:t>
      </w:r>
    </w:p>
    <w:p w14:paraId="1453851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{/infoDes2}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131951D7">
      <w:pPr>
        <w:rPr>
          <w:rFonts w:hint="eastAsia" w:eastAsia="微软雅黑" w:asciiTheme="minorAscii" w:hAnsiTheme="minorAscii"/>
          <w:sz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eastAsia="微软雅黑" w:asciiTheme="minorAscii" w:hAnsiTheme="minorAscii"/>
          <w:sz w:val="28"/>
          <w:lang w:val="en-US" w:eastAsia="zh-CN"/>
        </w:rPr>
        <w:br w:type="page"/>
      </w:r>
    </w:p>
    <w:p w14:paraId="5223364F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走航管控建议</w:t>
      </w:r>
    </w:p>
    <w:p w14:paraId="5B8E6E6C">
      <w:pPr>
        <w:numPr>
          <w:ilvl w:val="0"/>
          <w:numId w:val="6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7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7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br w:type="page"/>
      </w:r>
    </w:p>
    <w:p w14:paraId="6F588A94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{#showPollutedArea}</w:t>
      </w:r>
    </w:p>
    <w:p w14:paraId="2A060300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附件</w:t>
      </w:r>
    </w:p>
    <w:p w14:paraId="3343281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94CB26A">
      <w:pPr>
        <w:pStyle w:val="3"/>
        <w:numPr>
          <w:ilvl w:val="0"/>
          <w:numId w:val="8"/>
        </w:numPr>
        <w:bidi w:val="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{_area}</w:t>
      </w:r>
    </w:p>
    <w:p w14:paraId="4E4C231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1D790011">
      <w:pPr>
        <w:pStyle w:val="4"/>
        <w:numPr>
          <w:ilvl w:val="0"/>
          <w:numId w:val="0"/>
        </w:numPr>
        <w:bidi w:val="0"/>
        <w:ind w:left="420" w:leftChars="0"/>
        <w:rPr>
          <w:rFonts w:hint="eastAsia" w:asciiTheme="majorEastAsia" w:hAnsiTheme="majorEastAsia" w:eastAsiaTheme="majorEastAsia" w:cstheme="majorEastAsia"/>
          <w:sz w:val="24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1"/>
          <w:lang w:val="en-US" w:eastAsia="zh-CN"/>
        </w:rPr>
        <w:t>({index}) {factor}</w:t>
      </w:r>
    </w:p>
    <w:p w14:paraId="3D592CB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p w14:paraId="4F8FD689">
      <w:pPr>
        <w:pStyle w:val="6"/>
        <w:numPr>
          <w:ilvl w:val="0"/>
          <w:numId w:val="9"/>
        </w:numPr>
        <w:bidi w:val="0"/>
        <w:ind w:left="0" w:leftChars="0" w:firstLine="482" w:firstLineChars="200"/>
        <w:outlineLvl w:val="4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{_title}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1ABF1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0E9022A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507E15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D594B5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558C5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0CB849B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3E21CAB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4C54587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7B8C5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72F9534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</w:t>
            </w:r>
          </w:p>
          <w:p w14:paraId="154E9B4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区域</w:t>
            </w:r>
          </w:p>
        </w:tc>
        <w:tc>
          <w:tcPr>
            <w:tcW w:w="6626" w:type="dxa"/>
            <w:gridSpan w:val="2"/>
          </w:tcPr>
          <w:p w14:paraId="01D331B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44912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3F4862A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</w:t>
            </w:r>
          </w:p>
          <w:p w14:paraId="0F5B0F8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图</w:t>
            </w:r>
          </w:p>
        </w:tc>
        <w:tc>
          <w:tcPr>
            <w:tcW w:w="6626" w:type="dxa"/>
            <w:gridSpan w:val="2"/>
          </w:tcPr>
          <w:p w14:paraId="4FE6A11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78B0DC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76D9505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1A416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2F51A9A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7BA7AEE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解析</w:t>
            </w:r>
          </w:p>
        </w:tc>
        <w:tc>
          <w:tcPr>
            <w:tcW w:w="6626" w:type="dxa"/>
            <w:gridSpan w:val="2"/>
          </w:tcPr>
          <w:p w14:paraId="3544A35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4962A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3583F9D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6D185E8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场景</w:t>
            </w:r>
          </w:p>
        </w:tc>
        <w:tc>
          <w:tcPr>
            <w:tcW w:w="6626" w:type="dxa"/>
            <w:gridSpan w:val="2"/>
          </w:tcPr>
          <w:p w14:paraId="0C0F475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{#_scenes}</w:t>
            </w:r>
          </w:p>
          <w:p w14:paraId="57B7768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{des}</w:t>
            </w:r>
          </w:p>
          <w:p w14:paraId="291D9A0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{/_scenes}{/_hasScene}</w:t>
            </w:r>
          </w:p>
        </w:tc>
      </w:tr>
    </w:tbl>
    <w:p w14:paraId="507888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54C182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7F5C1A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6FA9E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18C55E8B">
      <w:pPr>
        <w:rPr>
          <w:rFonts w:hint="eastAsia" w:eastAsia="微软雅黑" w:asciiTheme="minorAscii" w:hAnsiTheme="minorAscii"/>
          <w:sz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8D1FAFC">
      <w:pP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{/showPollutedArea}</w:t>
      </w:r>
    </w:p>
    <w:p w14:paraId="416A888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{^showPollutedArea}</w:t>
      </w:r>
    </w:p>
    <w:p w14:paraId="275D29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{/showPollutedArea}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42C0AA0"/>
    <w:multiLevelType w:val="multilevel"/>
    <w:tmpl w:val="E42C0AA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3">
    <w:nsid w:val="E6A75A2A"/>
    <w:multiLevelType w:val="singleLevel"/>
    <w:tmpl w:val="E6A75A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146BDDF2"/>
    <w:multiLevelType w:val="singleLevel"/>
    <w:tmpl w:val="146BDDF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16B51C77"/>
    <w:multiLevelType w:val="singleLevel"/>
    <w:tmpl w:val="16B51C7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7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8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3161EC4"/>
    <w:rsid w:val="0531223F"/>
    <w:rsid w:val="0698763E"/>
    <w:rsid w:val="07F5253B"/>
    <w:rsid w:val="09361DE1"/>
    <w:rsid w:val="0A25058C"/>
    <w:rsid w:val="0A4A7131"/>
    <w:rsid w:val="0BFB32E4"/>
    <w:rsid w:val="0CAC5270"/>
    <w:rsid w:val="0DFC76FA"/>
    <w:rsid w:val="0E1A1A66"/>
    <w:rsid w:val="0E31696D"/>
    <w:rsid w:val="105C0433"/>
    <w:rsid w:val="14A35710"/>
    <w:rsid w:val="167C5864"/>
    <w:rsid w:val="168742C6"/>
    <w:rsid w:val="179E62FB"/>
    <w:rsid w:val="17A10FB8"/>
    <w:rsid w:val="17D3547E"/>
    <w:rsid w:val="18846C5B"/>
    <w:rsid w:val="189C156C"/>
    <w:rsid w:val="18E05AA2"/>
    <w:rsid w:val="19AE757F"/>
    <w:rsid w:val="19FB2358"/>
    <w:rsid w:val="1A2F0336"/>
    <w:rsid w:val="1BE37C5A"/>
    <w:rsid w:val="1CF10D25"/>
    <w:rsid w:val="1DD01570"/>
    <w:rsid w:val="1EE47C0E"/>
    <w:rsid w:val="20087C8F"/>
    <w:rsid w:val="23074147"/>
    <w:rsid w:val="23CD4EE3"/>
    <w:rsid w:val="26F1355E"/>
    <w:rsid w:val="290711B0"/>
    <w:rsid w:val="2ABD1E0A"/>
    <w:rsid w:val="2B604F20"/>
    <w:rsid w:val="2D202545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910A1D"/>
    <w:rsid w:val="3AEA72F2"/>
    <w:rsid w:val="3C277297"/>
    <w:rsid w:val="3F501A1F"/>
    <w:rsid w:val="41775713"/>
    <w:rsid w:val="41F90465"/>
    <w:rsid w:val="434A6288"/>
    <w:rsid w:val="43B357A3"/>
    <w:rsid w:val="44E328F5"/>
    <w:rsid w:val="458120DA"/>
    <w:rsid w:val="470F1D6D"/>
    <w:rsid w:val="47281438"/>
    <w:rsid w:val="47B95B8F"/>
    <w:rsid w:val="484F7741"/>
    <w:rsid w:val="48AF5299"/>
    <w:rsid w:val="48D153DE"/>
    <w:rsid w:val="48D92120"/>
    <w:rsid w:val="49173608"/>
    <w:rsid w:val="4A5F1E78"/>
    <w:rsid w:val="4B7422D5"/>
    <w:rsid w:val="4D92097B"/>
    <w:rsid w:val="4EE248B1"/>
    <w:rsid w:val="4EF70D4B"/>
    <w:rsid w:val="4F526F4E"/>
    <w:rsid w:val="50691327"/>
    <w:rsid w:val="52EA5F64"/>
    <w:rsid w:val="530A0F5A"/>
    <w:rsid w:val="53F57BD6"/>
    <w:rsid w:val="57580F21"/>
    <w:rsid w:val="578C402C"/>
    <w:rsid w:val="5B926D37"/>
    <w:rsid w:val="5D194E63"/>
    <w:rsid w:val="5DA12869"/>
    <w:rsid w:val="5FCD04E1"/>
    <w:rsid w:val="5FE7091B"/>
    <w:rsid w:val="6157713F"/>
    <w:rsid w:val="62A33C21"/>
    <w:rsid w:val="641B3197"/>
    <w:rsid w:val="649B5593"/>
    <w:rsid w:val="65993EE8"/>
    <w:rsid w:val="666A5656"/>
    <w:rsid w:val="6696673B"/>
    <w:rsid w:val="675C50A2"/>
    <w:rsid w:val="67A537FB"/>
    <w:rsid w:val="68224D64"/>
    <w:rsid w:val="695E7EED"/>
    <w:rsid w:val="6A0C39A7"/>
    <w:rsid w:val="6A0D6A07"/>
    <w:rsid w:val="6D4A2F5D"/>
    <w:rsid w:val="6FD165D7"/>
    <w:rsid w:val="6FE93D46"/>
    <w:rsid w:val="718F539C"/>
    <w:rsid w:val="71B920D7"/>
    <w:rsid w:val="73843390"/>
    <w:rsid w:val="74E83D09"/>
    <w:rsid w:val="74EE1266"/>
    <w:rsid w:val="759D2D26"/>
    <w:rsid w:val="75E05C1B"/>
    <w:rsid w:val="76564426"/>
    <w:rsid w:val="767B16B0"/>
    <w:rsid w:val="77DF1DBB"/>
    <w:rsid w:val="795A50E5"/>
    <w:rsid w:val="79AD24C6"/>
    <w:rsid w:val="79F268C5"/>
    <w:rsid w:val="7A161840"/>
    <w:rsid w:val="7A577367"/>
    <w:rsid w:val="7AAD65DE"/>
    <w:rsid w:val="7DAA4898"/>
    <w:rsid w:val="7E051ED4"/>
    <w:rsid w:val="7F87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1882</Words>
  <Characters>3062</Characters>
  <Lines>0</Lines>
  <Paragraphs>0</Paragraphs>
  <TotalTime>32</TotalTime>
  <ScaleCrop>false</ScaleCrop>
  <LinksUpToDate>false</LinksUpToDate>
  <CharactersWithSpaces>3124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2025-10-21T09:38:26Z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