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5B042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{sryArea}季度走航巡查分析报告</w:t>
      </w:r>
    </w:p>
    <w:p w14:paraId="4EF29DE2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季度走航概述</w:t>
      </w:r>
    </w:p>
    <w:p w14:paraId="6F513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{sryArea}大气污染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走航监测工作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稳步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推进，共开展走航监测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{sryCount}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次，总里程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约为{sryKm}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公里，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走航路线主要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覆盖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高值站点（国控、市控、微站等）、典型工地和餐饮聚集区等，其中{sryRegion}区域涉及多次走航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走航监测资源聚焦国控点周边保障/区域高风险网格等。</w:t>
      </w:r>
    </w:p>
    <w:p w14:paraId="1267E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走航监测同期空气质量背景，主要为{sryCountByDegree}，走航监测以日常风险排查/动态溯源、污染实时控制为主。</w:t>
      </w:r>
    </w:p>
    <w:p w14:paraId="16C2E6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本季度共计识别出{sryProbCount}条大气污染线索、追溯到{srySceneCount}处高风险场景，其中{sryProbByFactor}。择取相关高价值/复发信息，由区环境监测站以污染线索方式分享至区局相关应急联动平台，并得到进一步核实确认和闭环处置。</w:t>
      </w:r>
    </w:p>
    <w:p w14:paraId="4FB95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后续，建议聚焦{sryFocusRegion}等区域或场景，进一步优化走航路线，强化空气质量良及轻度污染期间的实时动态溯源，并加强污染线索的即时分享，为实时污染的控制和减排提供更精细的技术支持，持续优化区域空气质量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</w:p>
    <w:p w14:paraId="45E083CC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走航溯源清单</w:t>
      </w:r>
    </w:p>
    <w:p w14:paraId="13A1E7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{sryTime}开展的走航监测溯源清单如下表：</w:t>
      </w:r>
    </w:p>
    <w:tbl>
      <w:tblPr>
        <w:tblStyle w:val="13"/>
        <w:tblW w:w="507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181"/>
        <w:gridCol w:w="1200"/>
        <w:gridCol w:w="731"/>
        <w:gridCol w:w="975"/>
        <w:gridCol w:w="1350"/>
        <w:gridCol w:w="990"/>
        <w:gridCol w:w="975"/>
        <w:gridCol w:w="1635"/>
        <w:gridCol w:w="4144"/>
      </w:tblGrid>
      <w:tr w14:paraId="28DE0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  <w:shd w:val="clear" w:color="auto" w:fill="F1F1F1" w:themeFill="background1" w:themeFillShade="F2"/>
          </w:tcPr>
          <w:p w14:paraId="562E722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410" w:type="pct"/>
            <w:shd w:val="clear" w:color="auto" w:fill="F1F1F1" w:themeFill="background1" w:themeFillShade="F2"/>
          </w:tcPr>
          <w:p w14:paraId="0609CE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任务时间</w:t>
            </w:r>
          </w:p>
        </w:tc>
        <w:tc>
          <w:tcPr>
            <w:tcW w:w="417" w:type="pct"/>
            <w:shd w:val="clear" w:color="auto" w:fill="F1F1F1" w:themeFill="background1" w:themeFillShade="F2"/>
          </w:tcPr>
          <w:p w14:paraId="08A3930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走航区域</w:t>
            </w:r>
          </w:p>
        </w:tc>
        <w:tc>
          <w:tcPr>
            <w:tcW w:w="254" w:type="pct"/>
            <w:shd w:val="clear" w:color="auto" w:fill="F1F1F1" w:themeFill="background1" w:themeFillShade="F2"/>
          </w:tcPr>
          <w:p w14:paraId="1A9BAC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FACB0C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首要污染物</w:t>
            </w:r>
          </w:p>
        </w:tc>
        <w:tc>
          <w:tcPr>
            <w:tcW w:w="469" w:type="pct"/>
            <w:shd w:val="clear" w:color="auto" w:fill="F1F1F1" w:themeFill="background1" w:themeFillShade="F2"/>
          </w:tcPr>
          <w:p w14:paraId="7D9293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监测异常因子</w:t>
            </w:r>
          </w:p>
        </w:tc>
        <w:tc>
          <w:tcPr>
            <w:tcW w:w="344" w:type="pct"/>
            <w:shd w:val="clear" w:color="auto" w:fill="F1F1F1" w:themeFill="background1" w:themeFillShade="F2"/>
          </w:tcPr>
          <w:p w14:paraId="77DFA4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溯源问题场景数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AC2C8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总里程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数</w:t>
            </w:r>
          </w:p>
        </w:tc>
        <w:tc>
          <w:tcPr>
            <w:tcW w:w="568" w:type="pct"/>
            <w:shd w:val="clear" w:color="auto" w:fill="F1F1F1" w:themeFill="background1" w:themeFillShade="F2"/>
          </w:tcPr>
          <w:p w14:paraId="7C1C7CE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途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经</w:t>
            </w:r>
          </w:p>
        </w:tc>
        <w:tc>
          <w:tcPr>
            <w:tcW w:w="1440" w:type="pct"/>
            <w:shd w:val="clear" w:color="auto" w:fill="F1F1F1" w:themeFill="background1" w:themeFillShade="F2"/>
          </w:tcPr>
          <w:p w14:paraId="643906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异常高值事件</w:t>
            </w:r>
          </w:p>
        </w:tc>
      </w:tr>
      <w:tr w14:paraId="2AAD7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</w:tcPr>
          <w:p w14:paraId="56894E2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{#missionInfoList}{missionCode}</w:t>
            </w:r>
          </w:p>
        </w:tc>
        <w:tc>
          <w:tcPr>
            <w:tcW w:w="410" w:type="pct"/>
          </w:tcPr>
          <w:p w14:paraId="4C3B4CC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{_time}</w:t>
            </w:r>
          </w:p>
        </w:tc>
        <w:tc>
          <w:tcPr>
            <w:tcW w:w="417" w:type="pct"/>
          </w:tcPr>
          <w:p w14:paraId="01873B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{region}</w:t>
            </w:r>
          </w:p>
        </w:tc>
        <w:tc>
          <w:tcPr>
            <w:tcW w:w="254" w:type="pct"/>
          </w:tcPr>
          <w:p w14:paraId="5CF0645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338" w:type="pct"/>
          </w:tcPr>
          <w:p w14:paraId="3634FE1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{mainFactor}</w:t>
            </w:r>
          </w:p>
        </w:tc>
        <w:tc>
          <w:tcPr>
            <w:tcW w:w="469" w:type="pct"/>
          </w:tcPr>
          <w:p w14:paraId="1C306CB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{_abnormalFactors}</w:t>
            </w:r>
          </w:p>
        </w:tc>
        <w:tc>
          <w:tcPr>
            <w:tcW w:w="344" w:type="pct"/>
          </w:tcPr>
          <w:p w14:paraId="64E9E05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{sceneCount}</w:t>
            </w:r>
          </w:p>
        </w:tc>
        <w:tc>
          <w:tcPr>
            <w:tcW w:w="338" w:type="pct"/>
          </w:tcPr>
          <w:p w14:paraId="40935DC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_kilometres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}公里</w:t>
            </w:r>
          </w:p>
        </w:tc>
        <w:tc>
          <w:tcPr>
            <w:tcW w:w="568" w:type="pct"/>
          </w:tcPr>
          <w:p w14:paraId="21A3BD5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{_keyScene}</w:t>
            </w:r>
          </w:p>
        </w:tc>
        <w:tc>
          <w:tcPr>
            <w:tcW w:w="1440" w:type="pct"/>
          </w:tcPr>
          <w:p w14:paraId="290BCDB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全程累计识别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{exceptionCount}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起异常高值事件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，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主要集中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在{_focusScene}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，以颗粒物和氮氧化物瞬时高排放为主要特征。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{/missionInfoList}</w:t>
            </w:r>
          </w:p>
        </w:tc>
      </w:tr>
    </w:tbl>
    <w:p w14:paraId="0C90E3B9">
      <w:pPr>
        <w:rPr>
          <w:rFonts w:hint="eastAsia"/>
          <w:lang w:val="en-US" w:eastAsia="zh-CN"/>
        </w:rPr>
      </w:pPr>
    </w:p>
    <w:p w14:paraId="6ECA4F44">
      <w:pPr>
        <w:ind w:firstLine="420" w:firstLineChars="0"/>
        <w:rPr>
          <w:rFonts w:hint="eastAsia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各监测因子的数据统计清单如下表，采用分钟数据进行统计，单位为μg/m³：</w:t>
      </w:r>
    </w:p>
    <w:tbl>
      <w:tblPr>
        <w:tblStyle w:val="13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735"/>
        <w:gridCol w:w="833"/>
        <w:gridCol w:w="833"/>
        <w:gridCol w:w="833"/>
        <w:gridCol w:w="1"/>
        <w:gridCol w:w="832"/>
        <w:gridCol w:w="833"/>
        <w:gridCol w:w="833"/>
        <w:gridCol w:w="2"/>
        <w:gridCol w:w="831"/>
        <w:gridCol w:w="833"/>
        <w:gridCol w:w="833"/>
        <w:gridCol w:w="3"/>
        <w:gridCol w:w="830"/>
        <w:gridCol w:w="833"/>
        <w:gridCol w:w="833"/>
        <w:gridCol w:w="4"/>
        <w:gridCol w:w="829"/>
        <w:gridCol w:w="833"/>
        <w:gridCol w:w="833"/>
        <w:gridCol w:w="5"/>
      </w:tblGrid>
      <w:tr w14:paraId="4939D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2" w:type="dxa"/>
            <w:vMerge w:val="restart"/>
            <w:shd w:val="clear" w:color="auto" w:fill="F1F1F1" w:themeFill="background1" w:themeFillShade="F2"/>
            <w:vAlign w:val="center"/>
          </w:tcPr>
          <w:p w14:paraId="32552C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735" w:type="dxa"/>
            <w:vMerge w:val="restart"/>
            <w:shd w:val="clear" w:color="auto" w:fill="F1F1F1" w:themeFill="background1" w:themeFillShade="F2"/>
            <w:vAlign w:val="center"/>
          </w:tcPr>
          <w:p w14:paraId="169011D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2CC6A3C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NO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77E848C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NO2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34EDC00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CO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24741C9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PM2.5</w:t>
            </w:r>
          </w:p>
        </w:tc>
        <w:tc>
          <w:tcPr>
            <w:tcW w:w="2500" w:type="dxa"/>
            <w:gridSpan w:val="4"/>
            <w:shd w:val="clear" w:color="auto" w:fill="F1F1F1" w:themeFill="background1" w:themeFillShade="F2"/>
          </w:tcPr>
          <w:p w14:paraId="05886C6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PM10</w:t>
            </w:r>
          </w:p>
        </w:tc>
      </w:tr>
      <w:tr w14:paraId="3EA4A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222" w:type="dxa"/>
            <w:vMerge w:val="continue"/>
            <w:shd w:val="clear" w:color="auto" w:fill="F1F1F1" w:themeFill="background1" w:themeFillShade="F2"/>
            <w:vAlign w:val="top"/>
          </w:tcPr>
          <w:p w14:paraId="29F3B1C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Merge w:val="continue"/>
            <w:shd w:val="clear" w:color="auto" w:fill="F1F1F1" w:themeFill="background1" w:themeFillShade="F2"/>
            <w:vAlign w:val="top"/>
          </w:tcPr>
          <w:p w14:paraId="0E76E3D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08CD5A6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7BC32AA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99B64B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4FBA456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B274FC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8DA174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180ED07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4EBD6F2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705E482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497977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32E71A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0541C18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833" w:type="dxa"/>
            <w:gridSpan w:val="2"/>
            <w:shd w:val="clear" w:color="auto" w:fill="F1F1F1" w:themeFill="background1" w:themeFillShade="F2"/>
            <w:vAlign w:val="top"/>
          </w:tcPr>
          <w:p w14:paraId="71C54E6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03ABC9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833" w:type="dxa"/>
            <w:shd w:val="clear" w:color="auto" w:fill="F1F1F1" w:themeFill="background1" w:themeFillShade="F2"/>
            <w:vAlign w:val="top"/>
          </w:tcPr>
          <w:p w14:paraId="60E499C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</w:tr>
      <w:tr w14:paraId="048EC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</w:trPr>
        <w:tc>
          <w:tcPr>
            <w:tcW w:w="1222" w:type="dxa"/>
          </w:tcPr>
          <w:p w14:paraId="65BC4D5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{#missionDetailList}{missionCode}</w:t>
            </w:r>
          </w:p>
        </w:tc>
        <w:tc>
          <w:tcPr>
            <w:tcW w:w="735" w:type="dxa"/>
            <w:vAlign w:val="top"/>
          </w:tcPr>
          <w:p w14:paraId="3E8707B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833" w:type="dxa"/>
          </w:tcPr>
          <w:p w14:paraId="0E7D4D8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{avgValue_NO}</w:t>
            </w:r>
          </w:p>
        </w:tc>
        <w:tc>
          <w:tcPr>
            <w:tcW w:w="833" w:type="dxa"/>
          </w:tcPr>
          <w:p w14:paraId="1481D38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{maxValue_NO}</w:t>
            </w:r>
          </w:p>
        </w:tc>
        <w:tc>
          <w:tcPr>
            <w:tcW w:w="833" w:type="dxa"/>
          </w:tcPr>
          <w:p w14:paraId="0067E6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0DC3B61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{avgValue_NO2}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293BB3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{maxValue_NO2}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245947D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{minValue_NO2}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5190BE1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{avgValue_CO}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1AC9294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{maxValue_CO}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5ABDCDE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{minValue_CO}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1EBB0C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{avgValue_PM25}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07C1140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{maxValue_PM25}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70A59F5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{minValue_PM25}</w:t>
            </w:r>
          </w:p>
        </w:tc>
        <w:tc>
          <w:tcPr>
            <w:tcW w:w="833" w:type="dxa"/>
            <w:gridSpan w:val="2"/>
            <w:shd w:val="clear" w:color="auto" w:fill="auto"/>
            <w:vAlign w:val="top"/>
          </w:tcPr>
          <w:p w14:paraId="6CE660F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{avgValue_PM10}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7B81FBD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{maxValue_PM10}</w:t>
            </w:r>
          </w:p>
        </w:tc>
        <w:tc>
          <w:tcPr>
            <w:tcW w:w="833" w:type="dxa"/>
            <w:shd w:val="clear" w:color="auto" w:fill="auto"/>
            <w:vAlign w:val="top"/>
          </w:tcPr>
          <w:p w14:paraId="3C334BB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{minValue_PM10}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{/missionDetailList}</w:t>
            </w:r>
          </w:p>
        </w:tc>
      </w:tr>
    </w:tbl>
    <w:p w14:paraId="4884EF64">
      <w:pPr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9300058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典型隐患区域</w:t>
      </w:r>
    </w:p>
    <w:p w14:paraId="4F1FDB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{#clueByAreaList}</w:t>
      </w:r>
    </w:p>
    <w:p w14:paraId="4DD89C70">
      <w:pPr>
        <w:pStyle w:val="5"/>
        <w:numPr>
          <w:ilvl w:val="0"/>
          <w:numId w:val="2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{_area}</w:t>
      </w:r>
    </w:p>
    <w:p w14:paraId="7C9872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{#clueByFactorList}</w:t>
      </w:r>
    </w:p>
    <w:p w14:paraId="7228D347">
      <w:pPr>
        <w:pStyle w:val="6"/>
        <w:numPr>
          <w:ilvl w:val="1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{factor}</w:t>
      </w:r>
      <w:bookmarkStart w:id="0" w:name="_GoBack"/>
      <w:bookmarkEnd w:id="0"/>
    </w:p>
    <w:p w14:paraId="57F463E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{#clues}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898"/>
        <w:gridCol w:w="2592"/>
        <w:gridCol w:w="2136"/>
      </w:tblGrid>
      <w:tr w14:paraId="44C0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F1F1F1" w:themeFill="background1" w:themeFillShade="F2"/>
          </w:tcPr>
          <w:p w14:paraId="512C0775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因子</w:t>
            </w:r>
          </w:p>
        </w:tc>
        <w:tc>
          <w:tcPr>
            <w:tcW w:w="2494" w:type="dxa"/>
            <w:shd w:val="clear" w:color="auto" w:fill="F1F1F1" w:themeFill="background1" w:themeFillShade="F2"/>
          </w:tcPr>
          <w:p w14:paraId="57591BB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时段</w:t>
            </w:r>
          </w:p>
        </w:tc>
        <w:tc>
          <w:tcPr>
            <w:tcW w:w="3168" w:type="dxa"/>
            <w:shd w:val="clear" w:color="auto" w:fill="F1F1F1" w:themeFill="background1" w:themeFillShade="F2"/>
          </w:tcPr>
          <w:p w14:paraId="0FBADD9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风险区域</w:t>
            </w:r>
          </w:p>
        </w:tc>
        <w:tc>
          <w:tcPr>
            <w:tcW w:w="2130" w:type="dxa"/>
            <w:shd w:val="clear" w:color="auto" w:fill="F1F1F1" w:themeFill="background1" w:themeFillShade="F2"/>
          </w:tcPr>
          <w:p w14:paraId="3F60FAD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异常类型</w:t>
            </w:r>
          </w:p>
        </w:tc>
      </w:tr>
      <w:tr w14:paraId="24779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</w:tcPr>
          <w:p w14:paraId="6294A68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{_factorNames}</w:t>
            </w:r>
          </w:p>
        </w:tc>
        <w:tc>
          <w:tcPr>
            <w:tcW w:w="2494" w:type="dxa"/>
          </w:tcPr>
          <w:p w14:paraId="651F030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_time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}</w:t>
            </w:r>
          </w:p>
        </w:tc>
        <w:tc>
          <w:tcPr>
            <w:tcW w:w="3168" w:type="dxa"/>
          </w:tcPr>
          <w:p w14:paraId="10EE84D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{_riskRegion}</w:t>
            </w:r>
          </w:p>
        </w:tc>
        <w:tc>
          <w:tcPr>
            <w:tcW w:w="2130" w:type="dxa"/>
          </w:tcPr>
          <w:p w14:paraId="6EF4E9F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{_exceptionType}</w:t>
            </w:r>
          </w:p>
        </w:tc>
      </w:tr>
      <w:tr w14:paraId="51C28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728" w:type="dxa"/>
            <w:shd w:val="clear" w:color="auto" w:fill="F1F1F1" w:themeFill="background1" w:themeFillShade="F2"/>
          </w:tcPr>
          <w:p w14:paraId="2599772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趋势图</w:t>
            </w:r>
          </w:p>
        </w:tc>
        <w:tc>
          <w:tcPr>
            <w:tcW w:w="7792" w:type="dxa"/>
            <w:gridSpan w:val="3"/>
          </w:tcPr>
          <w:p w14:paraId="083269BC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{#_images}</w:t>
            </w:r>
          </w:p>
          <w:p w14:paraId="443852F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{%url}</w:t>
            </w:r>
          </w:p>
          <w:p w14:paraId="4B1CEDE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{/_images}</w:t>
            </w:r>
          </w:p>
        </w:tc>
      </w:tr>
      <w:tr w14:paraId="463E5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F1F1F1" w:themeFill="background1" w:themeFillShade="F2"/>
          </w:tcPr>
          <w:p w14:paraId="0EE10A7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解读</w:t>
            </w:r>
          </w:p>
        </w:tc>
        <w:tc>
          <w:tcPr>
            <w:tcW w:w="7792" w:type="dxa"/>
            <w:gridSpan w:val="3"/>
          </w:tcPr>
          <w:p w14:paraId="418B926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{_conclusion}</w:t>
            </w:r>
          </w:p>
        </w:tc>
      </w:tr>
      <w:tr w14:paraId="37DF9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shd w:val="clear" w:color="auto" w:fill="F1F1F1" w:themeFill="background1" w:themeFillShade="F2"/>
          </w:tcPr>
          <w:p w14:paraId="6A19509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溯源场景</w:t>
            </w:r>
          </w:p>
        </w:tc>
        <w:tc>
          <w:tcPr>
            <w:tcW w:w="7792" w:type="dxa"/>
            <w:gridSpan w:val="3"/>
          </w:tcPr>
          <w:p w14:paraId="5088D26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{_scenes}</w:t>
            </w:r>
          </w:p>
        </w:tc>
      </w:tr>
    </w:tbl>
    <w:p w14:paraId="698DC6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040C42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{/clues}</w:t>
      </w:r>
    </w:p>
    <w:p w14:paraId="68CCB4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{/clueByFactorList}</w:t>
      </w:r>
    </w:p>
    <w:p w14:paraId="15196E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{/clueByAreaList}</w:t>
      </w:r>
    </w:p>
    <w:p w14:paraId="5F39600D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叠加融合分析</w:t>
      </w:r>
    </w:p>
    <w:p w14:paraId="2DFC2D5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{#gridFusionByAQIList}</w:t>
      </w:r>
    </w:p>
    <w:p w14:paraId="46D41872">
      <w:pPr>
        <w:pStyle w:val="5"/>
        <w:numPr>
          <w:ilvl w:val="0"/>
          <w:numId w:val="3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空气质量背景为{pollutionDegree}</w:t>
      </w:r>
    </w:p>
    <w:p w14:paraId="360F20F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{_areaDes}，单个网格为{_gridDes}，涉及的走航任务包括{_missionDes}，各监测因子融合结果如下：</w:t>
      </w:r>
    </w:p>
    <w:p w14:paraId="03BD515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{#highRiskGridList}</w:t>
      </w:r>
    </w:p>
    <w:p w14:paraId="5B434F08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840" w:leftChars="0"/>
        <w:textAlignment w:val="auto"/>
        <w:rPr>
          <w:rFonts w:hint="default" w:asciiTheme="minorEastAsia" w:hAnsiTheme="minorEastAsia" w:cstheme="minorEastAsia"/>
          <w:i w:val="0"/>
          <w:iCs w:val="0"/>
          <w:caps w:val="0"/>
          <w:spacing w:val="0"/>
          <w:sz w:val="22"/>
          <w:szCs w:val="2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  <w:t>({index}) {factor}</w:t>
      </w:r>
    </w:p>
    <w:p w14:paraId="7FAA93C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{%gridImgUrl1}</w:t>
      </w:r>
    </w:p>
    <w:p w14:paraId="1927441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{factor}标准颜色网格融合图</w:t>
      </w:r>
    </w:p>
    <w:p w14:paraId="57504CB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left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{%gridImgUrl2}</w:t>
      </w:r>
    </w:p>
    <w:p w14:paraId="12C9F92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{factor}对比颜色网格融合图</w:t>
      </w:r>
    </w:p>
    <w:p w14:paraId="2754906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从{factor}的对比颜色网格融合图可看出，红色网格为风险相对最高的区域，网格内的监测值为{factorValue}μg/m³，四至范围为{_boundsDes}，所在区域为{town}，涉及的污染场景{_scenesDes}。</w:t>
      </w:r>
    </w:p>
    <w:p w14:paraId="4391861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{/highRiskGridList}</w:t>
      </w:r>
    </w:p>
    <w:p w14:paraId="1116D2E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{/gridFusionByAQIList}</w:t>
      </w:r>
    </w:p>
    <w:p w14:paraId="262C074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5223364F">
      <w:pPr>
        <w:pStyle w:val="3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走航管控建议</w:t>
      </w:r>
    </w:p>
    <w:p w14:paraId="5B8E6E6C">
      <w:pPr>
        <w:numPr>
          <w:ilvl w:val="0"/>
          <w:numId w:val="4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建筑工地（PM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13CC8F6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评分较低（50分以下）、有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加强监管强度及执法力度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2C4ECD4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评分中等偏下（50-90分）、有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场景，针对性投入监管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资源和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执法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516D94BE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c.工地环信码评分较高（90分以上），减少监管频次，或线上提供技术支持。</w:t>
      </w:r>
    </w:p>
    <w:p w14:paraId="7F79473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1029AF5C">
      <w:pPr>
        <w:numPr>
          <w:ilvl w:val="0"/>
          <w:numId w:val="4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市政/水务/道路工程（PM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396C696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道路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工程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市政工程落实文明施工，规范设置施工区域围挡，配置抑尘设施，行业管理部门督促施工单位落实企业主体责任，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参照工地扬尘六个百分百要求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管控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严控污染排放，起到监管与帮扶作用。</w:t>
      </w:r>
    </w:p>
    <w:p w14:paraId="0765B526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4E69EA9D">
      <w:pPr>
        <w:numPr>
          <w:ilvl w:val="0"/>
          <w:numId w:val="4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226F373A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美丽家园等小区内工程，建议房管部门或其他相关管理部门规范非道机械使用，杜绝无证或抽测不合规车辆使用，督促施工单位文明施工。</w:t>
      </w:r>
    </w:p>
    <w:p w14:paraId="5B176900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34374B5">
      <w:pPr>
        <w:numPr>
          <w:ilvl w:val="0"/>
          <w:numId w:val="4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692E9D9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架空线工程夜间施工时，增设污染防治投入设施并规范化管理，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建议相关主管部门现场检查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督导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或执法于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晚20时后开展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同时提高道路保洁频次，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采用更环保的吸尘设备或洒扫设备，避免干扫造成二次扬尘污染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7C6E597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4DD2D0B">
      <w:pPr>
        <w:numPr>
          <w:ilvl w:val="0"/>
          <w:numId w:val="4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道路管理（PM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D622635">
      <w:pPr>
        <w:numPr>
          <w:ilvl w:val="0"/>
          <w:numId w:val="5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加强道路巡查、治理，绿容和交通牵头对高值路段开展全面养护，发现问题及时跟进处置，绿容管理部门加强重点路段吸扫保洁洒水作业、联动属地街镇开展降尘工作。</w:t>
      </w:r>
    </w:p>
    <w:p w14:paraId="4C193ED1">
      <w:pPr>
        <w:numPr>
          <w:ilvl w:val="0"/>
          <w:numId w:val="5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强化车辆执法检查力度，尾气排放不达标，车容车身污迹明显，跑冒滴漏等污染现象给与行政处罚。</w:t>
      </w:r>
    </w:p>
    <w:p w14:paraId="004999D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092543F3">
      <w:pPr>
        <w:numPr>
          <w:ilvl w:val="0"/>
          <w:numId w:val="4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餐饮聚集体，涉油烟企业油烟排口按照《饮食业环境保护技术规范》HJ554-2010 设置，安装符合上海标准的油烟净化设备，达标排放，并组织定期清洗油烟净化设备。</w:t>
      </w:r>
    </w:p>
    <w:p w14:paraId="1E5E568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FC3CD89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7.汽修、加油站或其他（PM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6DE5BBC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夏季或温度上升较快时，加大污染区域湿度，有效抑制扬尘污染和臭氧生成速度；加大VOCs释放源的管控力度，尤其是加大站点周边加油站、汽修、市政涂料使用、道路标线涂刷、甚至绿化修剪等排放源的减排。同时采用雾化喷水等局地降温措施。</w:t>
      </w:r>
    </w:p>
    <w:p w14:paraId="5863FB4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通过走航、手持监测仪日常巡查监测等监管手段，识别高值问题突出加油站、汽修店等，督促加强日常的精细化管理，建议尽快推动三次油气回收改造（油气处理装置）。</w:t>
      </w:r>
    </w:p>
    <w:p w14:paraId="5952FE4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2CC91C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工业源（PM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针对化工、石化、建材、涂装、印刷等行业重点抽查挥发性物质的排放，加强VOCS物料转移、废气收集、末端治理设施等环节全面执法检查，加强走航监测和突击夜查。</w:t>
      </w:r>
    </w:p>
    <w:p w14:paraId="1D99A6F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7EADE5AE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9.特殊情况提示（PM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5A142E55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a.空气质量为良接近轻度污染时，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非降雨天气，督促各类工地即时开启围墙喷淋、雾炮车，并加大洒扫频次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被溯源多次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颗粒物污染浓度变化较大路段开展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应急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性巡查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核查污染防治措施落实情况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必要时开展执法检查。</w:t>
      </w:r>
    </w:p>
    <w:p w14:paraId="32FA5554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b.走航监测溯源实时问题线索，建议构建快速处置闭环，尤其加强重点区域实时污染的多部门联动工作能效和应急处置能力。</w:t>
      </w:r>
    </w:p>
    <w:p w14:paraId="045D8621">
      <w:pPr>
        <w:rPr>
          <w:rFonts w:hint="default"/>
          <w:lang w:val="en-US" w:eastAsia="zh-CN"/>
        </w:rPr>
      </w:pPr>
    </w:p>
    <w:p w14:paraId="3F2B817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90831">
    <w:pPr>
      <w:pStyle w:val="9"/>
      <w:jc w:val="both"/>
      <w:rPr>
        <w:rFonts w:hint="default" w:eastAsiaTheme="minorEastAsia"/>
        <w:lang w:val="en-US" w:eastAsia="zh-CN"/>
      </w:rPr>
    </w:pPr>
    <w:r>
      <w:rPr>
        <w:rFonts w:hint="eastAsia" w:ascii="Times New Roman" w:hAnsi="Times New Roman" w:eastAsia="黑体"/>
        <w:sz w:val="52"/>
        <w:lang w:val="en-US" w:eastAsia="zh-CN"/>
      </w:rPr>
      <w:tab/>
    </w:r>
    <w:r>
      <w:rPr>
        <w:rFonts w:hint="eastAsia" w:ascii="Times New Roman" w:hAnsi="Times New Roman" w:eastAsia="黑体"/>
        <w:sz w:val="52"/>
        <w:lang w:val="en-US" w:eastAsia="zh-C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BD7131"/>
    <w:multiLevelType w:val="multilevel"/>
    <w:tmpl w:val="9CBD713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1">
    <w:nsid w:val="A8A57C65"/>
    <w:multiLevelType w:val="singleLevel"/>
    <w:tmpl w:val="A8A57C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C449BDF"/>
    <w:multiLevelType w:val="multilevel"/>
    <w:tmpl w:val="1C449BD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3">
    <w:nsid w:val="7103AA38"/>
    <w:multiLevelType w:val="singleLevel"/>
    <w:tmpl w:val="7103AA38"/>
    <w:lvl w:ilvl="0" w:tentative="0">
      <w:start w:val="1"/>
      <w:numFmt w:val="lowerLetter"/>
      <w:lvlText w:val="%1."/>
      <w:lvlJc w:val="left"/>
      <w:pPr>
        <w:tabs>
          <w:tab w:val="left" w:pos="312"/>
        </w:tabs>
      </w:pPr>
    </w:lvl>
  </w:abstractNum>
  <w:abstractNum w:abstractNumId="4">
    <w:nsid w:val="76701EAB"/>
    <w:multiLevelType w:val="singleLevel"/>
    <w:tmpl w:val="76701EA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50E9A"/>
    <w:rsid w:val="020C008E"/>
    <w:rsid w:val="023447A4"/>
    <w:rsid w:val="024F255C"/>
    <w:rsid w:val="02821843"/>
    <w:rsid w:val="03082F4B"/>
    <w:rsid w:val="0531223F"/>
    <w:rsid w:val="0698763E"/>
    <w:rsid w:val="0A4A7131"/>
    <w:rsid w:val="0BFB32E4"/>
    <w:rsid w:val="0CAC5270"/>
    <w:rsid w:val="0DFC76FA"/>
    <w:rsid w:val="0E1A1A66"/>
    <w:rsid w:val="0E31696D"/>
    <w:rsid w:val="105C0433"/>
    <w:rsid w:val="167C5864"/>
    <w:rsid w:val="168742C6"/>
    <w:rsid w:val="179E62FB"/>
    <w:rsid w:val="17A10FB8"/>
    <w:rsid w:val="17D3547E"/>
    <w:rsid w:val="18846C5B"/>
    <w:rsid w:val="189C156C"/>
    <w:rsid w:val="18E05AA2"/>
    <w:rsid w:val="19FB2358"/>
    <w:rsid w:val="1A2F0336"/>
    <w:rsid w:val="1BE37C5A"/>
    <w:rsid w:val="1DD01570"/>
    <w:rsid w:val="1EE47C0E"/>
    <w:rsid w:val="20087C8F"/>
    <w:rsid w:val="23CD4EE3"/>
    <w:rsid w:val="26F1355E"/>
    <w:rsid w:val="290711B0"/>
    <w:rsid w:val="2ABD1E0A"/>
    <w:rsid w:val="2D620577"/>
    <w:rsid w:val="2DD218DC"/>
    <w:rsid w:val="2E032EE2"/>
    <w:rsid w:val="2EDC5C85"/>
    <w:rsid w:val="2F0C0617"/>
    <w:rsid w:val="30EE093A"/>
    <w:rsid w:val="31345D38"/>
    <w:rsid w:val="31A35682"/>
    <w:rsid w:val="32CC0FF0"/>
    <w:rsid w:val="3455573C"/>
    <w:rsid w:val="34632A7C"/>
    <w:rsid w:val="34802F9D"/>
    <w:rsid w:val="34A7571D"/>
    <w:rsid w:val="352B308E"/>
    <w:rsid w:val="361E1463"/>
    <w:rsid w:val="364B796F"/>
    <w:rsid w:val="367B2D60"/>
    <w:rsid w:val="38327B47"/>
    <w:rsid w:val="3923324F"/>
    <w:rsid w:val="392C17E8"/>
    <w:rsid w:val="393F4A8B"/>
    <w:rsid w:val="39B65586"/>
    <w:rsid w:val="39D91BA7"/>
    <w:rsid w:val="3A910A1D"/>
    <w:rsid w:val="3AEA72F2"/>
    <w:rsid w:val="3C277297"/>
    <w:rsid w:val="3F501A1F"/>
    <w:rsid w:val="41775713"/>
    <w:rsid w:val="41F90465"/>
    <w:rsid w:val="44E328F5"/>
    <w:rsid w:val="458120DA"/>
    <w:rsid w:val="47281438"/>
    <w:rsid w:val="47B95B8F"/>
    <w:rsid w:val="484F7741"/>
    <w:rsid w:val="48AF5299"/>
    <w:rsid w:val="48D92120"/>
    <w:rsid w:val="4A5F1E78"/>
    <w:rsid w:val="4B7422D5"/>
    <w:rsid w:val="4D92097B"/>
    <w:rsid w:val="4EE248B1"/>
    <w:rsid w:val="4EF70D4B"/>
    <w:rsid w:val="4F526F4E"/>
    <w:rsid w:val="50691327"/>
    <w:rsid w:val="52EA5F64"/>
    <w:rsid w:val="578C402C"/>
    <w:rsid w:val="5D194E63"/>
    <w:rsid w:val="5DA12869"/>
    <w:rsid w:val="5FCD04E1"/>
    <w:rsid w:val="5FE7091B"/>
    <w:rsid w:val="6157713F"/>
    <w:rsid w:val="641B3197"/>
    <w:rsid w:val="649B5593"/>
    <w:rsid w:val="666A5656"/>
    <w:rsid w:val="67A537FB"/>
    <w:rsid w:val="695E7EED"/>
    <w:rsid w:val="6A0C39A7"/>
    <w:rsid w:val="6D4A2F5D"/>
    <w:rsid w:val="6FE93D46"/>
    <w:rsid w:val="718F539C"/>
    <w:rsid w:val="73843390"/>
    <w:rsid w:val="74E83D09"/>
    <w:rsid w:val="74EE1266"/>
    <w:rsid w:val="759D2D26"/>
    <w:rsid w:val="76564426"/>
    <w:rsid w:val="77DF1DBB"/>
    <w:rsid w:val="795A50E5"/>
    <w:rsid w:val="79AD24C6"/>
    <w:rsid w:val="79F268C5"/>
    <w:rsid w:val="7A577367"/>
    <w:rsid w:val="7AAD65DE"/>
    <w:rsid w:val="7DAA4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TML Code"/>
    <w:basedOn w:val="14"/>
    <w:qFormat/>
    <w:uiPriority w:val="0"/>
    <w:rPr>
      <w:rFonts w:ascii="Courier New" w:hAnsi="Courier New"/>
      <w:sz w:val="20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1869</Words>
  <Characters>2954</Characters>
  <Lines>0</Lines>
  <Paragraphs>0</Paragraphs>
  <TotalTime>24</TotalTime>
  <ScaleCrop>false</ScaleCrop>
  <LinksUpToDate>false</LinksUpToDate>
  <CharactersWithSpaces>3014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feiyu</dc:creator>
  <cp:lastModifiedBy>feiyu</cp:lastModifiedBy>
  <dcterms:modified xsi:type="dcterms:W3CDTF">2025-10-14T09:33:04Z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eyJoZGlkIjoiYTdhNzRkMTdiNWM3NTVjMWQwNjI0NGZlMTM4NzlmMjMifQ==</vt:lpwstr>
  </property>
  <property fmtid="{D5CDD505-2E9C-101B-9397-08002B2CF9AE}" pid="4" name="ICV">
    <vt:lpwstr>2A955996251A4FA894E5FE162B625A00_12</vt:lpwstr>
  </property>
</Properties>
</file>