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853B04">
      <w:pPr>
        <w:rPr>
          <w:color w:val="auto"/>
        </w:rPr>
      </w:pPr>
      <w:bookmarkStart w:id="0" w:name="_GoBack"/>
      <w:bookmarkEnd w:id="0"/>
    </w:p>
    <w:p w14:paraId="1E77FDD9">
      <w:pPr>
        <w:jc w:val="center"/>
        <w:rPr>
          <w:rFonts w:hint="eastAsia" w:ascii="黑体" w:hAnsi="宋体" w:eastAsia="黑体" w:cs="黑体"/>
          <w:color w:val="auto"/>
          <w:kern w:val="36"/>
          <w:sz w:val="44"/>
          <w:szCs w:val="44"/>
        </w:rPr>
      </w:pPr>
      <w:r>
        <w:rPr>
          <w:rFonts w:hint="eastAsia" w:ascii="黑体" w:hAnsi="宋体" w:eastAsia="黑体" w:cs="黑体"/>
          <w:color w:val="auto"/>
          <w:kern w:val="36"/>
          <w:sz w:val="44"/>
          <w:szCs w:val="44"/>
        </w:rPr>
        <w:t>徐汇区餐饮油烟网格化辅助管理服务简报</w:t>
      </w:r>
    </w:p>
    <w:p w14:paraId="4DBD2CB7">
      <w:pPr>
        <w:spacing w:line="600" w:lineRule="exact"/>
        <w:jc w:val="center"/>
        <w:rPr>
          <w:rFonts w:ascii="黑体" w:hAnsi="宋体" w:eastAsia="黑体" w:cs="黑体"/>
          <w:color w:val="auto"/>
          <w:kern w:val="36"/>
          <w:sz w:val="44"/>
          <w:szCs w:val="44"/>
        </w:rPr>
      </w:pPr>
      <w:r>
        <w:rPr>
          <w:rFonts w:hint="eastAsia" w:ascii="黑体" w:hAnsi="宋体" w:eastAsia="黑体" w:cs="黑体"/>
          <w:color w:val="auto"/>
          <w:kern w:val="36"/>
          <w:sz w:val="44"/>
          <w:szCs w:val="44"/>
        </w:rPr>
        <w:t>天钥桥（肇嘉浜路到零陵路段）</w:t>
      </w:r>
    </w:p>
    <w:p w14:paraId="31A4B039">
      <w:pPr>
        <w:spacing w:line="600" w:lineRule="exact"/>
        <w:jc w:val="center"/>
        <w:rPr>
          <w:rFonts w:hint="eastAsia" w:ascii="黑体" w:hAnsi="宋体" w:eastAsia="黑体" w:cs="黑体"/>
          <w:color w:val="auto"/>
          <w:kern w:val="36"/>
          <w:szCs w:val="32"/>
        </w:rPr>
      </w:pPr>
      <w:r>
        <w:rPr>
          <w:rFonts w:hint="eastAsia" w:ascii="黑体" w:hAnsi="宋体" w:eastAsia="黑体" w:cs="黑体"/>
          <w:color w:val="auto"/>
          <w:kern w:val="36"/>
          <w:szCs w:val="32"/>
        </w:rPr>
        <w:t>202</w:t>
      </w:r>
      <w:r>
        <w:rPr>
          <w:rFonts w:hint="eastAsia" w:ascii="黑体" w:hAnsi="宋体" w:eastAsia="黑体" w:cs="黑体"/>
          <w:color w:val="auto"/>
          <w:kern w:val="36"/>
          <w:szCs w:val="32"/>
          <w:lang w:val="en-US" w:eastAsia="zh-CN"/>
        </w:rPr>
        <w:t>3</w:t>
      </w:r>
      <w:r>
        <w:rPr>
          <w:rFonts w:hint="eastAsia" w:ascii="黑体" w:hAnsi="宋体" w:eastAsia="黑体" w:cs="黑体"/>
          <w:color w:val="auto"/>
          <w:kern w:val="36"/>
          <w:szCs w:val="32"/>
        </w:rPr>
        <w:t>年</w:t>
      </w:r>
      <w:r>
        <w:rPr>
          <w:rFonts w:hint="eastAsia" w:ascii="黑体" w:hAnsi="宋体" w:eastAsia="黑体" w:cs="黑体"/>
          <w:color w:val="auto"/>
          <w:kern w:val="36"/>
          <w:szCs w:val="32"/>
          <w:lang w:val="en-US" w:eastAsia="zh-CN"/>
        </w:rPr>
        <w:t>8</w:t>
      </w:r>
      <w:r>
        <w:rPr>
          <w:rFonts w:hint="eastAsia" w:ascii="黑体" w:hAnsi="宋体" w:eastAsia="黑体" w:cs="黑体"/>
          <w:color w:val="auto"/>
          <w:kern w:val="36"/>
          <w:szCs w:val="32"/>
        </w:rPr>
        <w:t>月</w:t>
      </w:r>
    </w:p>
    <w:p w14:paraId="00E5973E">
      <w:pPr>
        <w:spacing w:line="600" w:lineRule="exact"/>
        <w:rPr>
          <w:rFonts w:ascii="黑体" w:hAnsi="宋体" w:eastAsia="黑体" w:cs="黑体"/>
          <w:color w:val="auto"/>
          <w:kern w:val="36"/>
          <w:szCs w:val="32"/>
        </w:rPr>
      </w:pPr>
      <w:r>
        <w:rPr>
          <w:rFonts w:hint="eastAsia" w:ascii="黑体" w:hAnsi="宋体" w:eastAsia="黑体" w:cs="黑体"/>
          <w:color w:val="auto"/>
          <w:kern w:val="36"/>
          <w:szCs w:val="32"/>
        </w:rPr>
        <w:t>【监管概述】</w:t>
      </w:r>
    </w:p>
    <w:p w14:paraId="15AA2272">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default" w:ascii="仿宋_GB2312" w:hAnsi="仿宋_GB2312" w:eastAsia="仿宋_GB2312" w:cs="仿宋_GB2312"/>
          <w:color w:val="auto"/>
          <w:sz w:val="28"/>
          <w:szCs w:val="28"/>
          <w:lang w:val="en-US"/>
        </w:rPr>
      </w:pPr>
      <w:r>
        <w:rPr>
          <w:rFonts w:hint="eastAsia" w:ascii="仿宋_GB2312" w:hAnsi="仿宋_GB2312" w:eastAsia="仿宋_GB2312" w:cs="仿宋_GB2312"/>
          <w:color w:val="auto"/>
          <w:sz w:val="28"/>
          <w:szCs w:val="28"/>
        </w:rPr>
        <w:t>202</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rPr>
        <w:t>月，第三方</w:t>
      </w:r>
      <w:r>
        <w:rPr>
          <w:rFonts w:hint="eastAsia" w:ascii="仿宋_GB2312" w:hAnsi="仿宋_GB2312" w:eastAsia="仿宋_GB2312" w:cs="仿宋_GB2312"/>
          <w:color w:val="auto"/>
          <w:sz w:val="28"/>
          <w:szCs w:val="28"/>
          <w:lang w:val="en-US" w:eastAsia="zh-CN"/>
        </w:rPr>
        <w:t>采用现场巡查的方式</w:t>
      </w:r>
      <w:r>
        <w:rPr>
          <w:rFonts w:hint="eastAsia" w:ascii="仿宋_GB2312" w:hAnsi="仿宋_GB2312" w:eastAsia="仿宋_GB2312" w:cs="仿宋_GB2312"/>
          <w:color w:val="auto"/>
          <w:sz w:val="28"/>
          <w:szCs w:val="28"/>
        </w:rPr>
        <w:t>对徐汇区</w:t>
      </w:r>
      <w:r>
        <w:rPr>
          <w:rFonts w:ascii="仿宋_GB2312" w:hAnsi="仿宋_GB2312" w:eastAsia="仿宋_GB2312" w:cs="仿宋_GB2312"/>
          <w:color w:val="auto"/>
          <w:sz w:val="28"/>
          <w:szCs w:val="28"/>
        </w:rPr>
        <w:t>天钥桥路的肇嘉浜路到零陵路段</w:t>
      </w:r>
      <w:r>
        <w:rPr>
          <w:rFonts w:hint="eastAsia" w:ascii="仿宋_GB2312" w:hAnsi="仿宋_GB2312" w:eastAsia="仿宋_GB2312" w:cs="仿宋_GB2312"/>
          <w:color w:val="auto"/>
          <w:sz w:val="28"/>
          <w:szCs w:val="28"/>
        </w:rPr>
        <w:t>集中区域内</w:t>
      </w:r>
      <w:r>
        <w:rPr>
          <w:rFonts w:hint="eastAsia" w:ascii="仿宋_GB2312" w:hAnsi="仿宋_GB2312" w:eastAsia="仿宋_GB2312" w:cs="仿宋_GB2312"/>
          <w:color w:val="auto"/>
          <w:sz w:val="28"/>
          <w:szCs w:val="28"/>
          <w:lang w:val="en-US" w:eastAsia="zh-CN"/>
        </w:rPr>
        <w:t>的25家</w:t>
      </w:r>
      <w:r>
        <w:rPr>
          <w:rFonts w:hint="eastAsia" w:ascii="仿宋_GB2312" w:hAnsi="仿宋_GB2312" w:eastAsia="仿宋_GB2312" w:cs="仿宋_GB2312"/>
          <w:color w:val="auto"/>
          <w:sz w:val="28"/>
          <w:szCs w:val="28"/>
        </w:rPr>
        <w:t>餐饮单位进行</w:t>
      </w:r>
      <w:r>
        <w:rPr>
          <w:rFonts w:hint="eastAsia" w:ascii="仿宋_GB2312" w:hAnsi="仿宋_GB2312" w:eastAsia="仿宋_GB2312" w:cs="仿宋_GB2312"/>
          <w:color w:val="auto"/>
          <w:sz w:val="28"/>
          <w:szCs w:val="28"/>
          <w:lang w:val="en-US" w:eastAsia="zh-CN"/>
        </w:rPr>
        <w:t>了</w:t>
      </w:r>
      <w:r>
        <w:rPr>
          <w:rFonts w:hint="eastAsia" w:ascii="仿宋_GB2312" w:hAnsi="仿宋_GB2312" w:eastAsia="仿宋_GB2312" w:cs="仿宋_GB2312"/>
          <w:color w:val="auto"/>
          <w:sz w:val="28"/>
          <w:szCs w:val="28"/>
        </w:rPr>
        <w:t>日常</w:t>
      </w:r>
      <w:r>
        <w:rPr>
          <w:rFonts w:hint="eastAsia" w:ascii="仿宋_GB2312" w:hAnsi="仿宋_GB2312" w:eastAsia="仿宋_GB2312" w:cs="仿宋_GB2312"/>
          <w:color w:val="auto"/>
          <w:sz w:val="28"/>
          <w:szCs w:val="28"/>
          <w:lang w:val="en-US" w:eastAsia="zh-CN"/>
        </w:rPr>
        <w:t>现场</w:t>
      </w:r>
      <w:r>
        <w:rPr>
          <w:rFonts w:hint="eastAsia" w:ascii="仿宋_GB2312" w:hAnsi="仿宋_GB2312" w:eastAsia="仿宋_GB2312" w:cs="仿宋_GB2312"/>
          <w:color w:val="auto"/>
          <w:sz w:val="28"/>
          <w:szCs w:val="28"/>
        </w:rPr>
        <w:t>监管</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含赵大刀、醉东庐2家新纳入餐饮单位</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通过中小微企业生态环境守法智能服务小程序（餐饮单位用户）为63家正常经营餐饮单位提供环保管理精细化服务，并对天钥桥集中区域内其他部分餐饮单位进行线上提醒、技术指导等技术支持，其中57家餐饮单位进行线上操作，线上操作企业占比90.5%。现场监管的25家餐饮单位均正常营业。</w:t>
      </w:r>
      <w:r>
        <w:rPr>
          <w:rFonts w:hint="eastAsia" w:ascii="仿宋_GB2312" w:hAnsi="仿宋_GB2312" w:eastAsia="仿宋_GB2312" w:cs="仿宋_GB2312"/>
          <w:color w:val="auto"/>
          <w:sz w:val="28"/>
          <w:szCs w:val="28"/>
        </w:rPr>
        <w:t>与物业保持联动，并对相关问题进行了整改指导、督促；</w:t>
      </w:r>
      <w:r>
        <w:rPr>
          <w:rFonts w:hint="eastAsia" w:ascii="仿宋_GB2312" w:hAnsi="仿宋_GB2312" w:eastAsia="仿宋_GB2312" w:cs="仿宋_GB2312"/>
          <w:color w:val="auto"/>
          <w:sz w:val="28"/>
          <w:szCs w:val="28"/>
          <w:lang w:val="en-US" w:eastAsia="zh-CN"/>
        </w:rPr>
        <w:t>相关涉油烟餐饮单位</w:t>
      </w:r>
      <w:r>
        <w:rPr>
          <w:rFonts w:hint="eastAsia" w:ascii="仿宋_GB2312" w:hAnsi="仿宋_GB2312" w:eastAsia="仿宋_GB2312" w:cs="仿宋_GB2312"/>
          <w:color w:val="auto"/>
          <w:sz w:val="28"/>
          <w:szCs w:val="28"/>
        </w:rPr>
        <w:t>均</w:t>
      </w:r>
      <w:r>
        <w:rPr>
          <w:rFonts w:hint="eastAsia" w:ascii="仿宋_GB2312" w:hAnsi="仿宋_GB2312" w:eastAsia="仿宋_GB2312" w:cs="仿宋_GB2312"/>
          <w:color w:val="auto"/>
          <w:sz w:val="28"/>
          <w:szCs w:val="28"/>
          <w:lang w:val="en-US" w:eastAsia="zh-CN"/>
        </w:rPr>
        <w:t>已</w:t>
      </w:r>
      <w:r>
        <w:rPr>
          <w:rFonts w:hint="eastAsia" w:ascii="仿宋_GB2312" w:hAnsi="仿宋_GB2312" w:eastAsia="仿宋_GB2312" w:cs="仿宋_GB2312"/>
          <w:color w:val="auto"/>
          <w:sz w:val="28"/>
          <w:szCs w:val="28"/>
        </w:rPr>
        <w:t>纳入环保餐饮油烟监管微信群（天钥桥），</w:t>
      </w:r>
      <w:r>
        <w:rPr>
          <w:rFonts w:hint="eastAsia" w:ascii="仿宋_GB2312" w:hAnsi="仿宋_GB2312" w:eastAsia="仿宋_GB2312" w:cs="仿宋_GB2312"/>
          <w:color w:val="auto"/>
          <w:sz w:val="28"/>
          <w:szCs w:val="28"/>
          <w:lang w:val="en-US" w:eastAsia="zh-CN"/>
        </w:rPr>
        <w:t>开展</w:t>
      </w:r>
      <w:r>
        <w:rPr>
          <w:rFonts w:hint="eastAsia" w:ascii="仿宋_GB2312" w:hAnsi="仿宋_GB2312" w:eastAsia="仿宋_GB2312" w:cs="仿宋_GB2312"/>
          <w:color w:val="auto"/>
          <w:sz w:val="28"/>
          <w:szCs w:val="28"/>
        </w:rPr>
        <w:t>线上</w:t>
      </w:r>
      <w:r>
        <w:rPr>
          <w:rFonts w:hint="eastAsia" w:ascii="仿宋_GB2312" w:hAnsi="仿宋_GB2312" w:eastAsia="仿宋_GB2312" w:cs="仿宋_GB2312"/>
          <w:color w:val="auto"/>
          <w:sz w:val="28"/>
          <w:szCs w:val="28"/>
          <w:lang w:val="en-US" w:eastAsia="zh-CN"/>
        </w:rPr>
        <w:t>技术</w:t>
      </w:r>
      <w:r>
        <w:rPr>
          <w:rFonts w:hint="eastAsia" w:ascii="仿宋_GB2312" w:hAnsi="仿宋_GB2312" w:eastAsia="仿宋_GB2312" w:cs="仿宋_GB2312"/>
          <w:color w:val="auto"/>
          <w:sz w:val="28"/>
          <w:szCs w:val="28"/>
        </w:rPr>
        <w:t>指导和</w:t>
      </w:r>
      <w:r>
        <w:rPr>
          <w:rFonts w:hint="eastAsia" w:ascii="仿宋_GB2312" w:hAnsi="仿宋_GB2312" w:eastAsia="仿宋_GB2312" w:cs="仿宋_GB2312"/>
          <w:color w:val="auto"/>
          <w:sz w:val="28"/>
          <w:szCs w:val="28"/>
          <w:lang w:val="en-US" w:eastAsia="zh-CN"/>
        </w:rPr>
        <w:t>技术服务</w:t>
      </w:r>
      <w:r>
        <w:rPr>
          <w:rFonts w:hint="eastAsia" w:ascii="仿宋_GB2312" w:hAnsi="仿宋_GB2312" w:eastAsia="仿宋_GB2312" w:cs="仿宋_GB2312"/>
          <w:color w:val="auto"/>
          <w:sz w:val="28"/>
          <w:szCs w:val="28"/>
        </w:rPr>
        <w:t>；油烟在线监测安装试点</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家重点餐饮单位</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基于徐汇区环保精细化综合管理平台开展油烟在线监测数据分析、趋势研判与异常数据核查；环信码已张贴应用并及时更新，</w:t>
      </w:r>
      <w:r>
        <w:rPr>
          <w:rFonts w:hint="eastAsia" w:ascii="仿宋_GB2312" w:hAnsi="仿宋_GB2312" w:eastAsia="仿宋_GB2312" w:cs="仿宋_GB2312"/>
          <w:color w:val="auto"/>
          <w:sz w:val="28"/>
          <w:szCs w:val="28"/>
        </w:rPr>
        <w:t>涉油烟餐饮单位排口均已张贴新式排口标识（含环信码）</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店铺遗失或破损或新开店铺环信码将于下月及时更新张贴</w:t>
      </w:r>
      <w:r>
        <w:rPr>
          <w:rFonts w:hint="eastAsia" w:ascii="仿宋_GB2312" w:hAnsi="仿宋_GB2312" w:eastAsia="仿宋_GB2312" w:cs="仿宋_GB2312"/>
          <w:color w:val="auto"/>
          <w:sz w:val="28"/>
          <w:szCs w:val="28"/>
        </w:rPr>
        <w:t>。</w:t>
      </w:r>
    </w:p>
    <w:p w14:paraId="213474E7">
      <w:pPr>
        <w:keepNext w:val="0"/>
        <w:keepLines w:val="0"/>
        <w:pageBreakBefore w:val="0"/>
        <w:widowControl w:val="0"/>
        <w:kinsoku/>
        <w:wordWrap/>
        <w:overflowPunct/>
        <w:topLinePunct w:val="0"/>
        <w:autoSpaceDE/>
        <w:autoSpaceDN/>
        <w:bidi w:val="0"/>
        <w:adjustRightInd w:val="0"/>
        <w:snapToGrid w:val="0"/>
        <w:spacing w:before="438" w:beforeLines="100" w:after="220" w:afterLines="50" w:line="300" w:lineRule="auto"/>
        <w:textAlignment w:val="auto"/>
        <w:outlineLvl w:val="9"/>
        <w:rPr>
          <w:rFonts w:hint="eastAsia" w:ascii="仿宋_GB2312" w:hAnsi="仿宋_GB2312" w:eastAsia="仿宋_GB2312" w:cs="仿宋_GB2312"/>
          <w:color w:val="auto"/>
          <w:sz w:val="44"/>
          <w:szCs w:val="44"/>
        </w:rPr>
      </w:pPr>
      <w:r>
        <w:rPr>
          <w:rFonts w:hint="eastAsia" w:ascii="黑体" w:hAnsi="宋体" w:eastAsia="黑体" w:cs="黑体"/>
          <w:color w:val="auto"/>
          <w:kern w:val="36"/>
          <w:szCs w:val="32"/>
        </w:rPr>
        <w:t>【问题与整改】</w:t>
      </w:r>
    </w:p>
    <w:p w14:paraId="25EAD69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0" w:firstLineChars="200"/>
        <w:jc w:val="left"/>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b w:val="0"/>
          <w:bCs w:val="0"/>
          <w:color w:val="auto"/>
          <w:sz w:val="28"/>
          <w:szCs w:val="28"/>
          <w:lang w:val="en-US" w:eastAsia="zh-CN"/>
        </w:rPr>
        <w:t>8月对天钥桥25家餐饮单位进行现场检查，结合往期天钥桥餐饮单位巡查情况，天钥桥66家餐饮单位中，63家餐饮单位正常经营，3家（</w:t>
      </w:r>
      <w:r>
        <w:rPr>
          <w:rFonts w:hint="eastAsia" w:ascii="仿宋_GB2312" w:hAnsi="仿宋_GB2312" w:eastAsia="仿宋_GB2312" w:cs="仿宋_GB2312"/>
          <w:color w:val="auto"/>
          <w:sz w:val="28"/>
          <w:szCs w:val="28"/>
          <w:lang w:val="en-US" w:eastAsia="zh-CN"/>
        </w:rPr>
        <w:t>超级鸡车、红汤面馆、</w:t>
      </w:r>
      <w:r>
        <w:rPr>
          <w:rFonts w:hint="eastAsia" w:ascii="仿宋_GB2312" w:hAnsi="仿宋_GB2312" w:eastAsia="仿宋_GB2312" w:cs="仿宋_GB2312"/>
          <w:b w:val="0"/>
          <w:bCs w:val="0"/>
          <w:color w:val="auto"/>
          <w:sz w:val="28"/>
          <w:szCs w:val="28"/>
          <w:lang w:val="en-US" w:eastAsia="zh-CN"/>
        </w:rPr>
        <w:t>麦当劳天钥桥1号店）停业装修。8月现场巡查且正常经营的25家餐饮单位中，</w:t>
      </w: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rPr>
        <w:t>家暂未发现问题，占</w:t>
      </w:r>
      <w:r>
        <w:rPr>
          <w:rFonts w:hint="eastAsia" w:ascii="仿宋_GB2312" w:hAnsi="仿宋_GB2312" w:eastAsia="仿宋_GB2312" w:cs="仿宋_GB2312"/>
          <w:color w:val="auto"/>
          <w:sz w:val="28"/>
          <w:szCs w:val="28"/>
          <w:lang w:val="en-US" w:eastAsia="zh-CN"/>
        </w:rPr>
        <w:t>比（本次现场巡查餐饮单位数）为24%</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19家存在问题，其中17</w:t>
      </w:r>
      <w:r>
        <w:rPr>
          <w:rFonts w:hint="eastAsia" w:ascii="仿宋_GB2312" w:hAnsi="仿宋_GB2312" w:eastAsia="仿宋_GB2312" w:cs="仿宋_GB2312"/>
          <w:color w:val="auto"/>
          <w:sz w:val="28"/>
          <w:szCs w:val="28"/>
        </w:rPr>
        <w:t>家对第三方发现并建议整改的问题进行了整改，整改单位占比</w:t>
      </w:r>
      <w:r>
        <w:rPr>
          <w:rFonts w:hint="eastAsia" w:ascii="仿宋_GB2312" w:hAnsi="仿宋_GB2312" w:eastAsia="仿宋_GB2312" w:cs="仿宋_GB2312"/>
          <w:color w:val="auto"/>
          <w:sz w:val="28"/>
          <w:szCs w:val="28"/>
          <w:lang w:val="en-US" w:eastAsia="zh-CN"/>
        </w:rPr>
        <w:t>89.5</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15</w:t>
      </w:r>
      <w:r>
        <w:rPr>
          <w:rFonts w:hint="eastAsia" w:ascii="仿宋_GB2312" w:hAnsi="仿宋_GB2312" w:eastAsia="仿宋_GB2312" w:cs="仿宋_GB2312"/>
          <w:color w:val="auto"/>
          <w:sz w:val="28"/>
          <w:szCs w:val="28"/>
        </w:rPr>
        <w:t>家对第三方发现并建议整改的问题进行了完全整改，</w:t>
      </w:r>
      <w:r>
        <w:rPr>
          <w:rFonts w:hint="eastAsia" w:ascii="仿宋_GB2312" w:hAnsi="仿宋_GB2312" w:eastAsia="仿宋_GB2312" w:cs="仿宋_GB2312"/>
          <w:color w:val="auto"/>
          <w:sz w:val="28"/>
          <w:szCs w:val="28"/>
          <w:lang w:val="en-US" w:eastAsia="zh-CN"/>
        </w:rPr>
        <w:t>完全</w:t>
      </w:r>
      <w:r>
        <w:rPr>
          <w:rFonts w:hint="eastAsia" w:ascii="仿宋_GB2312" w:hAnsi="仿宋_GB2312" w:eastAsia="仿宋_GB2312" w:cs="仿宋_GB2312"/>
          <w:color w:val="auto"/>
          <w:sz w:val="28"/>
          <w:szCs w:val="28"/>
        </w:rPr>
        <w:t>整改单位占比</w:t>
      </w:r>
      <w:r>
        <w:rPr>
          <w:rFonts w:hint="eastAsia" w:ascii="仿宋_GB2312" w:hAnsi="仿宋_GB2312" w:eastAsia="仿宋_GB2312" w:cs="仿宋_GB2312"/>
          <w:color w:val="auto"/>
          <w:sz w:val="28"/>
          <w:szCs w:val="28"/>
          <w:lang w:val="en-US" w:eastAsia="zh-CN"/>
        </w:rPr>
        <w:t>78.9</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家未进行任何整改（问题数</w:t>
      </w:r>
      <w:r>
        <w:rPr>
          <w:rFonts w:hint="eastAsia" w:ascii="仿宋_GB2312" w:hAnsi="仿宋_GB2312" w:eastAsia="仿宋_GB2312" w:cs="仿宋_GB2312"/>
          <w:color w:val="auto"/>
          <w:sz w:val="28"/>
          <w:szCs w:val="28"/>
          <w:lang w:eastAsia="zh-CN"/>
        </w:rPr>
        <w:t>均</w:t>
      </w:r>
      <w:r>
        <w:rPr>
          <w:rFonts w:hint="eastAsia" w:ascii="仿宋_GB2312" w:hAnsi="仿宋_GB2312" w:eastAsia="仿宋_GB2312" w:cs="仿宋_GB2312"/>
          <w:color w:val="auto"/>
          <w:sz w:val="28"/>
          <w:szCs w:val="28"/>
          <w:lang w:val="en-US" w:eastAsia="zh-CN"/>
        </w:rPr>
        <w:t>小</w:t>
      </w:r>
      <w:r>
        <w:rPr>
          <w:rFonts w:hint="eastAsia" w:ascii="仿宋_GB2312" w:hAnsi="仿宋_GB2312" w:eastAsia="仿宋_GB2312" w:cs="仿宋_GB2312"/>
          <w:color w:val="auto"/>
          <w:sz w:val="28"/>
          <w:szCs w:val="28"/>
          <w:lang w:eastAsia="zh-CN"/>
        </w:rPr>
        <w:t>于等于</w:t>
      </w:r>
      <w:r>
        <w:rPr>
          <w:rFonts w:hint="eastAsia" w:ascii="仿宋_GB2312" w:hAnsi="仿宋_GB2312" w:eastAsia="仿宋_GB2312" w:cs="仿宋_GB2312"/>
          <w:color w:val="auto"/>
          <w:sz w:val="28"/>
          <w:szCs w:val="28"/>
          <w:lang w:val="en-US" w:eastAsia="zh-CN"/>
        </w:rPr>
        <w:t>2个</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未整改单位占比为10.5</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8月</w:t>
      </w:r>
      <w:r>
        <w:rPr>
          <w:rFonts w:hint="eastAsia" w:ascii="仿宋_GB2312" w:hAnsi="仿宋_GB2312" w:eastAsia="仿宋_GB2312" w:cs="仿宋_GB2312"/>
          <w:color w:val="auto"/>
          <w:sz w:val="28"/>
          <w:szCs w:val="28"/>
        </w:rPr>
        <w:t>共计发现问题</w:t>
      </w:r>
      <w:r>
        <w:rPr>
          <w:rFonts w:hint="eastAsia" w:ascii="仿宋_GB2312" w:hAnsi="仿宋_GB2312" w:eastAsia="仿宋_GB2312" w:cs="仿宋_GB2312"/>
          <w:color w:val="auto"/>
          <w:sz w:val="28"/>
          <w:szCs w:val="28"/>
          <w:lang w:val="en-US" w:eastAsia="zh-CN"/>
        </w:rPr>
        <w:t>28个；完全</w:t>
      </w:r>
      <w:r>
        <w:rPr>
          <w:rFonts w:hint="eastAsia" w:ascii="仿宋_GB2312" w:hAnsi="仿宋_GB2312" w:eastAsia="仿宋_GB2312" w:cs="仿宋_GB2312"/>
          <w:color w:val="auto"/>
          <w:sz w:val="28"/>
          <w:szCs w:val="28"/>
        </w:rPr>
        <w:t>整改或局部整改问题</w:t>
      </w:r>
      <w:r>
        <w:rPr>
          <w:rFonts w:hint="eastAsia" w:ascii="仿宋_GB2312" w:hAnsi="仿宋_GB2312" w:eastAsia="仿宋_GB2312" w:cs="仿宋_GB2312"/>
          <w:color w:val="auto"/>
          <w:sz w:val="28"/>
          <w:szCs w:val="28"/>
          <w:lang w:val="en-US" w:eastAsia="zh-CN"/>
        </w:rPr>
        <w:t>共计19</w:t>
      </w:r>
      <w:r>
        <w:rPr>
          <w:rFonts w:hint="eastAsia" w:ascii="仿宋_GB2312" w:hAnsi="仿宋_GB2312" w:eastAsia="仿宋_GB2312" w:cs="仿宋_GB2312"/>
          <w:color w:val="auto"/>
          <w:sz w:val="28"/>
          <w:szCs w:val="28"/>
        </w:rPr>
        <w:t>个，问题整改率</w:t>
      </w:r>
      <w:r>
        <w:rPr>
          <w:rFonts w:hint="eastAsia" w:ascii="仿宋_GB2312" w:hAnsi="仿宋_GB2312" w:eastAsia="仿宋_GB2312" w:cs="仿宋_GB2312"/>
          <w:color w:val="auto"/>
          <w:sz w:val="28"/>
          <w:szCs w:val="28"/>
          <w:lang w:val="en-US" w:eastAsia="zh-CN"/>
        </w:rPr>
        <w:t>67.9</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。8</w:t>
      </w:r>
      <w:r>
        <w:rPr>
          <w:rFonts w:hint="eastAsia" w:ascii="仿宋_GB2312" w:hAnsi="仿宋_GB2312" w:eastAsia="仿宋_GB2312" w:cs="仿宋_GB2312"/>
          <w:color w:val="auto"/>
          <w:sz w:val="28"/>
          <w:szCs w:val="28"/>
        </w:rPr>
        <w:t>月详细数据见表1。</w:t>
      </w:r>
    </w:p>
    <w:p w14:paraId="58C2371C">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jc w:val="center"/>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表1</w:t>
      </w:r>
      <w:r>
        <w:rPr>
          <w:rFonts w:hint="eastAsia" w:ascii="仿宋" w:hAnsi="仿宋" w:cs="仿宋"/>
          <w:color w:val="auto"/>
          <w:sz w:val="24"/>
          <w:szCs w:val="24"/>
          <w:lang w:val="en-US" w:eastAsia="zh-CN"/>
        </w:rPr>
        <w:t xml:space="preserve">  8</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整改单位占比和问题整改率清单</w:t>
      </w:r>
    </w:p>
    <w:tbl>
      <w:tblPr>
        <w:tblStyle w:val="6"/>
        <w:tblW w:w="10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1296"/>
        <w:gridCol w:w="754"/>
        <w:gridCol w:w="969"/>
        <w:gridCol w:w="823"/>
        <w:gridCol w:w="700"/>
        <w:gridCol w:w="816"/>
        <w:gridCol w:w="754"/>
        <w:gridCol w:w="907"/>
        <w:gridCol w:w="738"/>
        <w:gridCol w:w="917"/>
      </w:tblGrid>
      <w:tr w14:paraId="53DD2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80" w:type="dxa"/>
            <w:vMerge w:val="restart"/>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14:paraId="7C8BB56F">
            <w:pPr>
              <w:keepNext w:val="0"/>
              <w:keepLines w:val="0"/>
              <w:pageBreakBefore w:val="0"/>
              <w:widowControl w:val="0"/>
              <w:kinsoku/>
              <w:wordWrap/>
              <w:overflowPunct/>
              <w:topLinePunct w:val="0"/>
              <w:autoSpaceDE/>
              <w:autoSpaceDN/>
              <w:bidi w:val="0"/>
              <w:adjustRightInd w:val="0"/>
              <w:snapToGrid w:val="0"/>
              <w:spacing w:line="192" w:lineRule="auto"/>
              <w:jc w:val="center"/>
              <w:textAlignment w:val="auto"/>
              <w:outlineLvl w:val="9"/>
              <w:rPr>
                <w:rFonts w:hint="eastAsia" w:ascii="仿宋" w:hAnsi="仿宋" w:eastAsia="仿宋" w:cs="仿宋"/>
                <w:color w:val="auto"/>
                <w:sz w:val="24"/>
                <w:szCs w:val="24"/>
                <w:lang w:val="en-US" w:eastAsia="zh-CN"/>
              </w:rPr>
            </w:pPr>
          </w:p>
          <w:p w14:paraId="0DC04D79">
            <w:pPr>
              <w:keepNext w:val="0"/>
              <w:keepLines w:val="0"/>
              <w:pageBreakBefore w:val="0"/>
              <w:widowControl w:val="0"/>
              <w:kinsoku/>
              <w:wordWrap/>
              <w:overflowPunct/>
              <w:topLinePunct w:val="0"/>
              <w:autoSpaceDE/>
              <w:autoSpaceDN/>
              <w:bidi w:val="0"/>
              <w:adjustRightInd w:val="0"/>
              <w:snapToGrid w:val="0"/>
              <w:spacing w:line="192" w:lineRule="auto"/>
              <w:jc w:val="both"/>
              <w:textAlignment w:val="auto"/>
              <w:outlineLvl w:val="9"/>
              <w:rPr>
                <w:rFonts w:hint="eastAsia" w:ascii="仿宋" w:hAnsi="仿宋" w:eastAsia="仿宋" w:cs="仿宋"/>
                <w:color w:val="auto"/>
                <w:sz w:val="24"/>
                <w:szCs w:val="24"/>
                <w:lang w:val="en-US" w:eastAsia="zh-CN"/>
              </w:rPr>
            </w:pPr>
          </w:p>
          <w:p w14:paraId="72DD947D">
            <w:pPr>
              <w:keepNext w:val="0"/>
              <w:keepLines w:val="0"/>
              <w:pageBreakBefore w:val="0"/>
              <w:widowControl w:val="0"/>
              <w:kinsoku/>
              <w:wordWrap/>
              <w:overflowPunct/>
              <w:topLinePunct w:val="0"/>
              <w:autoSpaceDE/>
              <w:autoSpaceDN/>
              <w:bidi w:val="0"/>
              <w:adjustRightInd w:val="0"/>
              <w:snapToGrid w:val="0"/>
              <w:spacing w:line="192" w:lineRule="auto"/>
              <w:jc w:val="both"/>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月</w:t>
            </w:r>
          </w:p>
          <w:p w14:paraId="629938C4">
            <w:pPr>
              <w:keepNext w:val="0"/>
              <w:keepLines w:val="0"/>
              <w:pageBreakBefore w:val="0"/>
              <w:widowControl w:val="0"/>
              <w:kinsoku/>
              <w:wordWrap/>
              <w:overflowPunct/>
              <w:topLinePunct w:val="0"/>
              <w:autoSpaceDE/>
              <w:autoSpaceDN/>
              <w:bidi w:val="0"/>
              <w:adjustRightInd w:val="0"/>
              <w:snapToGrid w:val="0"/>
              <w:spacing w:line="192" w:lineRule="auto"/>
              <w:ind w:firstLine="240" w:firstLineChars="100"/>
              <w:jc w:val="both"/>
              <w:textAlignment w:val="auto"/>
              <w:outlineLvl w:val="9"/>
              <mc:AlternateContent>
                <mc:Choice Requires="wpsCustomData">
                  <wpsCustomData:diagonalParaType/>
                </mc:Choice>
              </mc:AlternateConten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份</w:t>
            </w:r>
          </w:p>
          <w:p w14:paraId="2D21B162">
            <w:pPr>
              <w:keepNext w:val="0"/>
              <w:keepLines w:val="0"/>
              <w:pageBreakBefore w:val="0"/>
              <w:widowControl w:val="0"/>
              <w:kinsoku/>
              <w:wordWrap/>
              <w:overflowPunct/>
              <w:topLinePunct w:val="0"/>
              <w:autoSpaceDE/>
              <w:autoSpaceDN/>
              <w:bidi w:val="0"/>
              <w:adjustRightInd w:val="0"/>
              <w:snapToGrid w:val="0"/>
              <w:spacing w:line="192"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单</w:t>
            </w:r>
          </w:p>
          <w:p w14:paraId="0EE863C4">
            <w:pPr>
              <w:keepNext w:val="0"/>
              <w:keepLines w:val="0"/>
              <w:pageBreakBefore w:val="0"/>
              <w:widowControl w:val="0"/>
              <w:kinsoku/>
              <w:wordWrap/>
              <w:overflowPunct/>
              <w:topLinePunct w:val="0"/>
              <w:autoSpaceDE/>
              <w:autoSpaceDN/>
              <w:bidi w:val="0"/>
              <w:adjustRightInd w:val="0"/>
              <w:snapToGrid w:val="0"/>
              <w:spacing w:line="192"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位</w:t>
            </w:r>
          </w:p>
          <w:p w14:paraId="279A2EC1">
            <w:pPr>
              <w:keepNext w:val="0"/>
              <w:keepLines w:val="0"/>
              <w:pageBreakBefore w:val="0"/>
              <w:widowControl w:val="0"/>
              <w:kinsoku/>
              <w:wordWrap/>
              <w:overflowPunct/>
              <w:topLinePunct w:val="0"/>
              <w:autoSpaceDE/>
              <w:autoSpaceDN/>
              <w:bidi w:val="0"/>
              <w:adjustRightInd w:val="0"/>
              <w:snapToGrid w:val="0"/>
              <w:spacing w:line="192"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类</w:t>
            </w:r>
          </w:p>
          <w:p w14:paraId="2616404B">
            <w:pPr>
              <w:keepNext w:val="0"/>
              <w:keepLines w:val="0"/>
              <w:pageBreakBefore w:val="0"/>
              <w:widowControl w:val="0"/>
              <w:kinsoku/>
              <w:wordWrap/>
              <w:overflowPunct/>
              <w:topLinePunct w:val="0"/>
              <w:autoSpaceDE/>
              <w:autoSpaceDN/>
              <w:bidi w:val="0"/>
              <w:adjustRightInd w:val="0"/>
              <w:snapToGrid w:val="0"/>
              <w:spacing w:line="192"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别</w:t>
            </w:r>
          </w:p>
        </w:tc>
        <w:tc>
          <w:tcPr>
            <w:tcW w:w="2050" w:type="dxa"/>
            <w:gridSpan w:val="2"/>
            <w:noWrap w:val="0"/>
            <w:vAlign w:val="center"/>
          </w:tcPr>
          <w:p w14:paraId="1AEBFA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涉油烟餐饮</w:t>
            </w:r>
            <w:r>
              <w:rPr>
                <w:rFonts w:hint="eastAsia" w:ascii="仿宋" w:hAnsi="仿宋" w:eastAsia="仿宋" w:cs="仿宋"/>
                <w:color w:val="auto"/>
                <w:sz w:val="24"/>
                <w:szCs w:val="24"/>
              </w:rPr>
              <w:t>单位</w:t>
            </w:r>
          </w:p>
        </w:tc>
        <w:tc>
          <w:tcPr>
            <w:tcW w:w="1792" w:type="dxa"/>
            <w:gridSpan w:val="2"/>
            <w:noWrap w:val="0"/>
            <w:vAlign w:val="center"/>
          </w:tcPr>
          <w:p w14:paraId="3130D84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无问题单位</w:t>
            </w:r>
          </w:p>
        </w:tc>
        <w:tc>
          <w:tcPr>
            <w:tcW w:w="1516" w:type="dxa"/>
            <w:gridSpan w:val="2"/>
            <w:noWrap w:val="0"/>
            <w:vAlign w:val="center"/>
          </w:tcPr>
          <w:p w14:paraId="088EFF1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整改单位</w:t>
            </w:r>
          </w:p>
        </w:tc>
        <w:tc>
          <w:tcPr>
            <w:tcW w:w="1661" w:type="dxa"/>
            <w:gridSpan w:val="2"/>
            <w:noWrap w:val="0"/>
            <w:vAlign w:val="center"/>
          </w:tcPr>
          <w:p w14:paraId="230D89C0">
            <w:pPr>
              <w:keepNext w:val="0"/>
              <w:keepLines w:val="0"/>
              <w:pageBreakBefore w:val="0"/>
              <w:widowControl w:val="0"/>
              <w:kinsoku/>
              <w:wordWrap/>
              <w:overflowPunct/>
              <w:topLinePunct w:val="0"/>
              <w:autoSpaceDE/>
              <w:autoSpaceDN/>
              <w:bidi w:val="0"/>
              <w:adjustRightInd w:val="0"/>
              <w:snapToGrid w:val="0"/>
              <w:spacing w:before="62" w:line="240" w:lineRule="auto"/>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cs="仿宋"/>
                <w:color w:val="auto"/>
                <w:sz w:val="24"/>
                <w:szCs w:val="24"/>
                <w:lang w:val="en-US" w:eastAsia="zh-CN"/>
              </w:rPr>
              <w:t>完全</w:t>
            </w:r>
            <w:r>
              <w:rPr>
                <w:rFonts w:hint="eastAsia" w:ascii="仿宋" w:hAnsi="仿宋" w:eastAsia="仿宋" w:cs="仿宋"/>
                <w:color w:val="auto"/>
                <w:sz w:val="24"/>
                <w:szCs w:val="24"/>
              </w:rPr>
              <w:t>整改 单位</w:t>
            </w:r>
          </w:p>
        </w:tc>
        <w:tc>
          <w:tcPr>
            <w:tcW w:w="1655" w:type="dxa"/>
            <w:gridSpan w:val="2"/>
            <w:noWrap w:val="0"/>
            <w:vAlign w:val="center"/>
          </w:tcPr>
          <w:p w14:paraId="77DEAA83">
            <w:pPr>
              <w:keepNext w:val="0"/>
              <w:keepLines w:val="0"/>
              <w:pageBreakBefore w:val="0"/>
              <w:widowControl w:val="0"/>
              <w:kinsoku/>
              <w:wordWrap/>
              <w:overflowPunct/>
              <w:topLinePunct w:val="0"/>
              <w:autoSpaceDE/>
              <w:autoSpaceDN/>
              <w:bidi w:val="0"/>
              <w:adjustRightInd w:val="0"/>
              <w:snapToGrid w:val="0"/>
              <w:spacing w:before="62" w:line="240" w:lineRule="auto"/>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完全未整改单位</w:t>
            </w:r>
          </w:p>
        </w:tc>
      </w:tr>
      <w:tr w14:paraId="4A178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480" w:type="dxa"/>
            <w:vMerge w:val="continue"/>
            <w:noWrap w:val="0"/>
            <w:vAlign w:val="top"/>
          </w:tcPr>
          <w:p w14:paraId="33078EC3">
            <w:pPr>
              <w:adjustRightInd w:val="0"/>
              <w:snapToGrid w:val="0"/>
              <w:jc w:val="center"/>
              <w:rPr>
                <w:rFonts w:hint="eastAsia" w:ascii="仿宋" w:hAnsi="仿宋" w:eastAsia="仿宋" w:cs="仿宋"/>
                <w:color w:val="auto"/>
                <w:sz w:val="24"/>
                <w:szCs w:val="24"/>
              </w:rPr>
            </w:pPr>
          </w:p>
        </w:tc>
        <w:tc>
          <w:tcPr>
            <w:tcW w:w="1296" w:type="dxa"/>
            <w:noWrap w:val="0"/>
            <w:vAlign w:val="center"/>
          </w:tcPr>
          <w:p w14:paraId="166C8D9E">
            <w:pPr>
              <w:adjustRightInd w:val="0"/>
              <w:snapToGrid w:val="0"/>
              <w:jc w:val="center"/>
              <w:rPr>
                <w:rFonts w:hint="eastAsia" w:ascii="仿宋" w:hAnsi="仿宋" w:eastAsia="仿宋" w:cs="仿宋"/>
                <w:color w:val="auto"/>
                <w:sz w:val="24"/>
                <w:szCs w:val="24"/>
                <w:lang w:val="en-US" w:eastAsia="zh-CN"/>
              </w:rPr>
            </w:pPr>
            <w:r>
              <w:rPr>
                <w:rFonts w:hint="eastAsia" w:ascii="仿宋" w:hAnsi="仿宋" w:cs="仿宋"/>
                <w:color w:val="auto"/>
                <w:sz w:val="24"/>
                <w:szCs w:val="24"/>
                <w:lang w:val="en-US" w:eastAsia="zh-CN"/>
              </w:rPr>
              <w:t>本期巡查正常经营</w:t>
            </w:r>
            <w:r>
              <w:rPr>
                <w:rFonts w:hint="eastAsia" w:ascii="仿宋" w:hAnsi="仿宋" w:eastAsia="仿宋" w:cs="仿宋"/>
                <w:color w:val="auto"/>
                <w:sz w:val="24"/>
                <w:szCs w:val="24"/>
                <w:lang w:val="en-US" w:eastAsia="zh-CN"/>
              </w:rPr>
              <w:t>单位</w:t>
            </w:r>
          </w:p>
        </w:tc>
        <w:tc>
          <w:tcPr>
            <w:tcW w:w="754" w:type="dxa"/>
            <w:noWrap w:val="0"/>
            <w:vAlign w:val="center"/>
          </w:tcPr>
          <w:p w14:paraId="2D60496C">
            <w:pPr>
              <w:adjustRightInd w:val="0"/>
              <w:snapToGrid w:val="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问题单位</w:t>
            </w:r>
          </w:p>
        </w:tc>
        <w:tc>
          <w:tcPr>
            <w:tcW w:w="969" w:type="dxa"/>
            <w:noWrap w:val="0"/>
            <w:vAlign w:val="center"/>
          </w:tcPr>
          <w:p w14:paraId="2EFB1436">
            <w:pPr>
              <w:adjustRightInd w:val="0"/>
              <w:snapToGrid w:val="0"/>
              <w:spacing w:before="93" w:beforeLines="30" w:line="288" w:lineRule="auto"/>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数量</w:t>
            </w:r>
          </w:p>
        </w:tc>
        <w:tc>
          <w:tcPr>
            <w:tcW w:w="823" w:type="dxa"/>
            <w:noWrap w:val="0"/>
            <w:vAlign w:val="center"/>
          </w:tcPr>
          <w:p w14:paraId="69BA04D4">
            <w:pPr>
              <w:adjustRightInd w:val="0"/>
              <w:snapToGrid w:val="0"/>
              <w:spacing w:before="93" w:beforeLines="30" w:line="288"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占比</w:t>
            </w:r>
          </w:p>
        </w:tc>
        <w:tc>
          <w:tcPr>
            <w:tcW w:w="700" w:type="dxa"/>
            <w:noWrap w:val="0"/>
            <w:vAlign w:val="center"/>
          </w:tcPr>
          <w:p w14:paraId="7BDB4317">
            <w:pPr>
              <w:adjustRightInd w:val="0"/>
              <w:snapToGrid w:val="0"/>
              <w:spacing w:before="93" w:beforeLines="30" w:line="288"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16" w:type="dxa"/>
            <w:noWrap w:val="0"/>
            <w:vAlign w:val="center"/>
          </w:tcPr>
          <w:p w14:paraId="16C06D2A">
            <w:pPr>
              <w:adjustRightInd w:val="0"/>
              <w:snapToGrid w:val="0"/>
              <w:spacing w:before="93" w:beforeLines="30" w:line="288" w:lineRule="auto"/>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占比</w:t>
            </w:r>
          </w:p>
        </w:tc>
        <w:tc>
          <w:tcPr>
            <w:tcW w:w="754" w:type="dxa"/>
            <w:noWrap w:val="0"/>
            <w:vAlign w:val="center"/>
          </w:tcPr>
          <w:p w14:paraId="004E7EA0">
            <w:pPr>
              <w:adjustRightInd w:val="0"/>
              <w:snapToGrid w:val="0"/>
              <w:spacing w:before="93" w:beforeLines="30" w:line="288"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907" w:type="dxa"/>
            <w:noWrap w:val="0"/>
            <w:vAlign w:val="center"/>
          </w:tcPr>
          <w:p w14:paraId="3125C7E4">
            <w:pPr>
              <w:adjustRightInd w:val="0"/>
              <w:snapToGrid w:val="0"/>
              <w:spacing w:before="93" w:beforeLines="30" w:line="288"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占比</w:t>
            </w:r>
          </w:p>
        </w:tc>
        <w:tc>
          <w:tcPr>
            <w:tcW w:w="738" w:type="dxa"/>
            <w:noWrap w:val="0"/>
            <w:vAlign w:val="center"/>
          </w:tcPr>
          <w:p w14:paraId="6403CD18">
            <w:pPr>
              <w:adjustRightInd w:val="0"/>
              <w:snapToGrid w:val="0"/>
              <w:spacing w:before="93" w:beforeLines="30" w:line="288"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917" w:type="dxa"/>
            <w:noWrap w:val="0"/>
            <w:vAlign w:val="center"/>
          </w:tcPr>
          <w:p w14:paraId="08C893CD">
            <w:pPr>
              <w:adjustRightInd w:val="0"/>
              <w:snapToGrid w:val="0"/>
              <w:spacing w:before="93" w:beforeLines="30" w:line="288"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占比</w:t>
            </w:r>
          </w:p>
        </w:tc>
      </w:tr>
      <w:tr w14:paraId="658E6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480" w:type="dxa"/>
            <w:noWrap w:val="0"/>
            <w:vAlign w:val="center"/>
          </w:tcPr>
          <w:p w14:paraId="2CA4F35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default" w:ascii="仿宋" w:hAnsi="仿宋" w:cs="仿宋"/>
                <w:color w:val="auto"/>
                <w:sz w:val="24"/>
                <w:szCs w:val="24"/>
                <w:lang w:val="en-US" w:eastAsia="zh-CN"/>
              </w:rPr>
            </w:pPr>
            <w:r>
              <w:rPr>
                <w:rFonts w:hint="eastAsia" w:ascii="仿宋" w:hAnsi="仿宋" w:cs="仿宋"/>
                <w:color w:val="auto"/>
                <w:sz w:val="24"/>
                <w:szCs w:val="24"/>
                <w:lang w:val="en-US" w:eastAsia="zh-CN"/>
              </w:rPr>
              <w:t>8月数据</w:t>
            </w:r>
          </w:p>
        </w:tc>
        <w:tc>
          <w:tcPr>
            <w:tcW w:w="1296" w:type="dxa"/>
            <w:noWrap w:val="0"/>
            <w:vAlign w:val="center"/>
          </w:tcPr>
          <w:p w14:paraId="54C5460F">
            <w:pPr>
              <w:keepNext w:val="0"/>
              <w:keepLines w:val="0"/>
              <w:widowControl/>
              <w:suppressLineNumbers w:val="0"/>
              <w:jc w:val="center"/>
              <w:textAlignment w:val="center"/>
              <w:rPr>
                <w:rFonts w:hint="default" w:ascii="仿宋" w:hAnsi="仿宋" w:cs="仿宋"/>
                <w:i w:val="0"/>
                <w:color w:val="auto"/>
                <w:kern w:val="0"/>
                <w:sz w:val="24"/>
                <w:szCs w:val="24"/>
                <w:u w:val="none"/>
                <w:lang w:val="en-US" w:eastAsia="zh-CN" w:bidi="ar"/>
              </w:rPr>
            </w:pPr>
            <w:r>
              <w:rPr>
                <w:rFonts w:hint="eastAsia" w:ascii="仿宋" w:hAnsi="仿宋" w:cs="仿宋"/>
                <w:i w:val="0"/>
                <w:color w:val="auto"/>
                <w:kern w:val="0"/>
                <w:sz w:val="24"/>
                <w:szCs w:val="24"/>
                <w:u w:val="none"/>
                <w:lang w:val="en-US" w:eastAsia="zh-CN" w:bidi="ar"/>
              </w:rPr>
              <w:t>25</w:t>
            </w:r>
          </w:p>
        </w:tc>
        <w:tc>
          <w:tcPr>
            <w:tcW w:w="754" w:type="dxa"/>
            <w:noWrap w:val="0"/>
            <w:vAlign w:val="center"/>
          </w:tcPr>
          <w:p w14:paraId="02AB027E">
            <w:pPr>
              <w:keepNext w:val="0"/>
              <w:keepLines w:val="0"/>
              <w:widowControl/>
              <w:suppressLineNumbers w:val="0"/>
              <w:jc w:val="center"/>
              <w:textAlignment w:val="center"/>
              <w:rPr>
                <w:rFonts w:hint="default" w:ascii="仿宋" w:hAnsi="仿宋" w:cs="仿宋"/>
                <w:i w:val="0"/>
                <w:color w:val="auto"/>
                <w:kern w:val="0"/>
                <w:sz w:val="24"/>
                <w:szCs w:val="24"/>
                <w:u w:val="none"/>
                <w:lang w:val="en-US" w:eastAsia="zh-CN" w:bidi="ar"/>
              </w:rPr>
            </w:pPr>
            <w:r>
              <w:rPr>
                <w:rFonts w:hint="eastAsia" w:ascii="仿宋" w:hAnsi="仿宋" w:cs="仿宋"/>
                <w:i w:val="0"/>
                <w:color w:val="auto"/>
                <w:kern w:val="0"/>
                <w:sz w:val="24"/>
                <w:szCs w:val="24"/>
                <w:u w:val="none"/>
                <w:lang w:val="en-US" w:eastAsia="zh-CN" w:bidi="ar"/>
              </w:rPr>
              <w:t>19</w:t>
            </w:r>
          </w:p>
        </w:tc>
        <w:tc>
          <w:tcPr>
            <w:tcW w:w="969" w:type="dxa"/>
            <w:noWrap w:val="0"/>
            <w:vAlign w:val="center"/>
          </w:tcPr>
          <w:p w14:paraId="76529F17">
            <w:pPr>
              <w:keepNext w:val="0"/>
              <w:keepLines w:val="0"/>
              <w:widowControl/>
              <w:suppressLineNumbers w:val="0"/>
              <w:jc w:val="center"/>
              <w:textAlignment w:val="center"/>
              <w:rPr>
                <w:rFonts w:hint="default" w:ascii="仿宋" w:hAnsi="仿宋" w:cs="仿宋"/>
                <w:i w:val="0"/>
                <w:color w:val="auto"/>
                <w:kern w:val="0"/>
                <w:sz w:val="24"/>
                <w:szCs w:val="24"/>
                <w:u w:val="none"/>
                <w:lang w:val="en-US" w:eastAsia="zh-CN" w:bidi="ar"/>
              </w:rPr>
            </w:pPr>
            <w:r>
              <w:rPr>
                <w:rFonts w:hint="eastAsia" w:ascii="仿宋" w:hAnsi="仿宋" w:cs="仿宋"/>
                <w:i w:val="0"/>
                <w:color w:val="auto"/>
                <w:kern w:val="0"/>
                <w:sz w:val="24"/>
                <w:szCs w:val="24"/>
                <w:u w:val="none"/>
                <w:lang w:val="en-US" w:eastAsia="zh-CN" w:bidi="ar"/>
              </w:rPr>
              <w:t>6</w:t>
            </w:r>
          </w:p>
        </w:tc>
        <w:tc>
          <w:tcPr>
            <w:tcW w:w="823" w:type="dxa"/>
            <w:noWrap w:val="0"/>
            <w:vAlign w:val="center"/>
          </w:tcPr>
          <w:p w14:paraId="5226AC96">
            <w:pPr>
              <w:keepNext w:val="0"/>
              <w:keepLines w:val="0"/>
              <w:widowControl/>
              <w:suppressLineNumbers w:val="0"/>
              <w:jc w:val="center"/>
              <w:textAlignment w:val="center"/>
              <w:rPr>
                <w:rFonts w:hint="default" w:ascii="仿宋" w:hAnsi="仿宋" w:eastAsia="仿宋" w:cs="仿宋"/>
                <w:color w:val="auto"/>
                <w:kern w:val="2"/>
                <w:sz w:val="24"/>
                <w:szCs w:val="24"/>
                <w:lang w:val="en-US" w:eastAsia="zh-CN" w:bidi="ar-SA"/>
              </w:rPr>
            </w:pPr>
            <w:r>
              <w:rPr>
                <w:rFonts w:hint="eastAsia" w:ascii="仿宋" w:hAnsi="仿宋" w:cs="仿宋"/>
                <w:i w:val="0"/>
                <w:color w:val="auto"/>
                <w:kern w:val="0"/>
                <w:sz w:val="24"/>
                <w:szCs w:val="24"/>
                <w:u w:val="none"/>
                <w:lang w:val="en-US" w:eastAsia="zh-CN" w:bidi="ar"/>
              </w:rPr>
              <w:t>24%</w:t>
            </w:r>
          </w:p>
        </w:tc>
        <w:tc>
          <w:tcPr>
            <w:tcW w:w="700" w:type="dxa"/>
            <w:noWrap w:val="0"/>
            <w:vAlign w:val="center"/>
          </w:tcPr>
          <w:p w14:paraId="6ABC1A1D">
            <w:pPr>
              <w:keepNext w:val="0"/>
              <w:keepLines w:val="0"/>
              <w:widowControl/>
              <w:suppressLineNumbers w:val="0"/>
              <w:jc w:val="center"/>
              <w:textAlignment w:val="center"/>
              <w:rPr>
                <w:rFonts w:hint="default" w:ascii="仿宋" w:hAnsi="仿宋" w:eastAsia="仿宋" w:cs="仿宋"/>
                <w:color w:val="auto"/>
                <w:kern w:val="2"/>
                <w:sz w:val="24"/>
                <w:szCs w:val="24"/>
                <w:lang w:val="en-US" w:eastAsia="zh-CN" w:bidi="ar-SA"/>
              </w:rPr>
            </w:pPr>
            <w:r>
              <w:rPr>
                <w:rFonts w:hint="eastAsia" w:ascii="仿宋" w:hAnsi="仿宋" w:cs="仿宋"/>
                <w:color w:val="auto"/>
                <w:kern w:val="2"/>
                <w:sz w:val="24"/>
                <w:szCs w:val="24"/>
                <w:lang w:val="en-US" w:eastAsia="zh-CN" w:bidi="ar-SA"/>
              </w:rPr>
              <w:t>17</w:t>
            </w:r>
          </w:p>
        </w:tc>
        <w:tc>
          <w:tcPr>
            <w:tcW w:w="816" w:type="dxa"/>
            <w:noWrap w:val="0"/>
            <w:vAlign w:val="center"/>
          </w:tcPr>
          <w:p w14:paraId="658DA8AE">
            <w:pPr>
              <w:keepNext w:val="0"/>
              <w:keepLines w:val="0"/>
              <w:widowControl/>
              <w:suppressLineNumbers w:val="0"/>
              <w:jc w:val="center"/>
              <w:textAlignment w:val="center"/>
              <w:rPr>
                <w:rFonts w:hint="default" w:ascii="仿宋" w:hAnsi="仿宋" w:eastAsia="仿宋" w:cs="仿宋"/>
                <w:color w:val="auto"/>
                <w:kern w:val="2"/>
                <w:sz w:val="24"/>
                <w:szCs w:val="24"/>
                <w:lang w:val="en-US" w:eastAsia="zh-CN" w:bidi="ar-SA"/>
              </w:rPr>
            </w:pPr>
            <w:r>
              <w:rPr>
                <w:rFonts w:hint="eastAsia" w:ascii="仿宋" w:hAnsi="仿宋" w:cs="仿宋"/>
                <w:i w:val="0"/>
                <w:color w:val="auto"/>
                <w:kern w:val="0"/>
                <w:sz w:val="24"/>
                <w:szCs w:val="24"/>
                <w:u w:val="none"/>
                <w:lang w:val="en-US" w:eastAsia="zh-CN" w:bidi="ar"/>
              </w:rPr>
              <w:t>89.5%</w:t>
            </w:r>
          </w:p>
        </w:tc>
        <w:tc>
          <w:tcPr>
            <w:tcW w:w="754" w:type="dxa"/>
            <w:noWrap w:val="0"/>
            <w:vAlign w:val="center"/>
          </w:tcPr>
          <w:p w14:paraId="77C3F45E">
            <w:pPr>
              <w:keepNext w:val="0"/>
              <w:keepLines w:val="0"/>
              <w:widowControl/>
              <w:suppressLineNumbers w:val="0"/>
              <w:jc w:val="center"/>
              <w:textAlignment w:val="center"/>
              <w:rPr>
                <w:rFonts w:hint="default" w:ascii="仿宋" w:hAnsi="仿宋" w:eastAsia="仿宋" w:cs="仿宋"/>
                <w:color w:val="auto"/>
                <w:kern w:val="2"/>
                <w:sz w:val="24"/>
                <w:szCs w:val="24"/>
                <w:lang w:val="en-US" w:eastAsia="zh-CN" w:bidi="ar-SA"/>
              </w:rPr>
            </w:pPr>
            <w:r>
              <w:rPr>
                <w:rFonts w:hint="eastAsia" w:ascii="仿宋" w:hAnsi="仿宋" w:cs="仿宋"/>
                <w:color w:val="auto"/>
                <w:kern w:val="2"/>
                <w:sz w:val="24"/>
                <w:szCs w:val="24"/>
                <w:lang w:val="en-US" w:eastAsia="zh-CN" w:bidi="ar-SA"/>
              </w:rPr>
              <w:t>15</w:t>
            </w:r>
          </w:p>
        </w:tc>
        <w:tc>
          <w:tcPr>
            <w:tcW w:w="907" w:type="dxa"/>
            <w:noWrap w:val="0"/>
            <w:vAlign w:val="center"/>
          </w:tcPr>
          <w:p w14:paraId="16E807CB">
            <w:pPr>
              <w:keepNext w:val="0"/>
              <w:keepLines w:val="0"/>
              <w:widowControl/>
              <w:suppressLineNumbers w:val="0"/>
              <w:jc w:val="center"/>
              <w:textAlignment w:val="center"/>
              <w:rPr>
                <w:rFonts w:hint="default" w:ascii="仿宋" w:hAnsi="仿宋" w:eastAsia="仿宋" w:cs="仿宋"/>
                <w:color w:val="auto"/>
                <w:kern w:val="2"/>
                <w:sz w:val="24"/>
                <w:szCs w:val="24"/>
                <w:lang w:val="en-US" w:eastAsia="zh-CN" w:bidi="ar-SA"/>
              </w:rPr>
            </w:pPr>
            <w:r>
              <w:rPr>
                <w:rFonts w:hint="eastAsia" w:ascii="仿宋" w:hAnsi="仿宋" w:cs="仿宋"/>
                <w:i w:val="0"/>
                <w:color w:val="auto"/>
                <w:kern w:val="0"/>
                <w:sz w:val="24"/>
                <w:szCs w:val="24"/>
                <w:u w:val="none"/>
                <w:lang w:val="en-US" w:eastAsia="zh-CN" w:bidi="ar"/>
              </w:rPr>
              <w:t>78.9%</w:t>
            </w:r>
          </w:p>
        </w:tc>
        <w:tc>
          <w:tcPr>
            <w:tcW w:w="738" w:type="dxa"/>
            <w:noWrap w:val="0"/>
            <w:vAlign w:val="center"/>
          </w:tcPr>
          <w:p w14:paraId="4331F480">
            <w:pPr>
              <w:keepNext w:val="0"/>
              <w:keepLines w:val="0"/>
              <w:widowControl/>
              <w:suppressLineNumbers w:val="0"/>
              <w:jc w:val="center"/>
              <w:textAlignment w:val="center"/>
              <w:rPr>
                <w:rFonts w:hint="default" w:ascii="仿宋" w:hAnsi="仿宋" w:eastAsia="仿宋" w:cs="仿宋"/>
                <w:color w:val="auto"/>
                <w:kern w:val="2"/>
                <w:sz w:val="24"/>
                <w:szCs w:val="24"/>
                <w:lang w:val="en-US" w:eastAsia="zh-CN" w:bidi="ar-SA"/>
              </w:rPr>
            </w:pPr>
            <w:r>
              <w:rPr>
                <w:rFonts w:hint="eastAsia" w:ascii="仿宋" w:hAnsi="仿宋" w:cs="仿宋"/>
                <w:color w:val="auto"/>
                <w:kern w:val="2"/>
                <w:sz w:val="24"/>
                <w:szCs w:val="24"/>
                <w:lang w:val="en-US" w:eastAsia="zh-CN" w:bidi="ar-SA"/>
              </w:rPr>
              <w:t>2</w:t>
            </w:r>
          </w:p>
        </w:tc>
        <w:tc>
          <w:tcPr>
            <w:tcW w:w="917" w:type="dxa"/>
            <w:noWrap w:val="0"/>
            <w:vAlign w:val="center"/>
          </w:tcPr>
          <w:p w14:paraId="1F5B8E10">
            <w:pPr>
              <w:keepNext w:val="0"/>
              <w:keepLines w:val="0"/>
              <w:widowControl/>
              <w:suppressLineNumbers w:val="0"/>
              <w:jc w:val="center"/>
              <w:textAlignment w:val="center"/>
              <w:rPr>
                <w:rFonts w:hint="default" w:ascii="仿宋" w:hAnsi="仿宋" w:eastAsia="仿宋" w:cs="仿宋"/>
                <w:color w:val="auto"/>
                <w:kern w:val="2"/>
                <w:sz w:val="24"/>
                <w:szCs w:val="24"/>
                <w:lang w:val="en-US" w:eastAsia="zh-CN" w:bidi="ar-SA"/>
              </w:rPr>
            </w:pPr>
            <w:r>
              <w:rPr>
                <w:rFonts w:hint="eastAsia" w:ascii="仿宋" w:hAnsi="仿宋" w:cs="仿宋"/>
                <w:i w:val="0"/>
                <w:color w:val="auto"/>
                <w:kern w:val="0"/>
                <w:sz w:val="24"/>
                <w:szCs w:val="24"/>
                <w:u w:val="none"/>
                <w:lang w:val="en-US" w:eastAsia="zh-CN" w:bidi="ar"/>
              </w:rPr>
              <w:t>10.5%</w:t>
            </w:r>
          </w:p>
        </w:tc>
      </w:tr>
    </w:tbl>
    <w:p w14:paraId="2BB8A20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w:t>对本区域近期问题突出的</w:t>
      </w:r>
      <w:r>
        <w:rPr>
          <w:rFonts w:hint="eastAsia" w:ascii="仿宋_GB2312" w:hAnsi="仿宋_GB2312" w:eastAsia="仿宋_GB2312" w:cs="仿宋_GB2312"/>
          <w:color w:val="auto"/>
          <w:sz w:val="28"/>
          <w:szCs w:val="28"/>
          <w:lang w:val="en-US" w:eastAsia="zh-CN"/>
        </w:rPr>
        <w:t>京悦南门涮肉、醉东庐、馨远美食小镇进行了重点监管。</w:t>
      </w:r>
    </w:p>
    <w:p w14:paraId="51F2790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9"/>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加强对餐饮单位经营高峰时段油烟在线监测实时数据分析研判，发现数据异常后及时与餐饮单位核实，督促指导餐饮单位规范开启、使用净化装置。加强对油烟在线监测数据阶段性趋势分析，对偶发超标或数据量级明显升高餐饮单位，结合具体情况，针对性建议其适当延长净化器运行时间或者增加净化器清洗频次。</w:t>
      </w:r>
    </w:p>
    <w:p w14:paraId="23976187">
      <w:pPr>
        <w:keepNext w:val="0"/>
        <w:keepLines w:val="0"/>
        <w:pageBreakBefore w:val="0"/>
        <w:widowControl w:val="0"/>
        <w:kinsoku/>
        <w:wordWrap/>
        <w:overflowPunct/>
        <w:topLinePunct w:val="0"/>
        <w:autoSpaceDE/>
        <w:autoSpaceDN/>
        <w:bidi w:val="0"/>
        <w:adjustRightInd w:val="0"/>
        <w:snapToGrid w:val="0"/>
        <w:spacing w:after="221" w:afterLines="50" w:line="500" w:lineRule="exact"/>
        <w:ind w:firstLine="560" w:firstLineChars="200"/>
        <w:jc w:val="left"/>
        <w:textAlignment w:val="auto"/>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根据巡查发现问题情况、问题整改情况及其他巡查信息分析，进一步优化餐饮油烟防治效果评估方法，对餐饮单位进行分类、分级，持续开展餐饮单位分类、分级监管，环信码</w:t>
      </w:r>
      <w:r>
        <w:rPr>
          <w:rFonts w:hint="eastAsia" w:ascii="仿宋_GB2312" w:hAnsi="仿宋_GB2312" w:eastAsia="仿宋_GB2312" w:cs="仿宋_GB2312"/>
          <w:color w:val="auto"/>
          <w:sz w:val="28"/>
          <w:szCs w:val="28"/>
          <w:lang w:val="en-US" w:eastAsia="zh-CN"/>
        </w:rPr>
        <w:t>已</w:t>
      </w:r>
      <w:r>
        <w:rPr>
          <w:rFonts w:hint="eastAsia" w:ascii="仿宋_GB2312" w:hAnsi="仿宋_GB2312" w:eastAsia="仿宋_GB2312" w:cs="仿宋_GB2312"/>
          <w:color w:val="auto"/>
          <w:sz w:val="28"/>
          <w:szCs w:val="28"/>
        </w:rPr>
        <w:t>张贴至涉油烟餐饮店入口明显位置，</w:t>
      </w:r>
      <w:r>
        <w:rPr>
          <w:rFonts w:hint="eastAsia" w:ascii="仿宋_GB2312" w:hAnsi="仿宋_GB2312" w:eastAsia="仿宋_GB2312" w:cs="仿宋_GB2312"/>
          <w:color w:val="auto"/>
          <w:sz w:val="28"/>
          <w:szCs w:val="28"/>
          <w:lang w:val="en-US" w:eastAsia="zh-CN"/>
        </w:rPr>
        <w:t>每个油烟排口也已均匀张贴新型排口标识（含环信码）</w:t>
      </w:r>
      <w:r>
        <w:rPr>
          <w:rFonts w:hint="eastAsia" w:ascii="仿宋_GB2312" w:hAnsi="仿宋_GB2312" w:eastAsia="仿宋_GB2312" w:cs="仿宋_GB2312"/>
          <w:color w:val="auto"/>
          <w:sz w:val="28"/>
          <w:szCs w:val="28"/>
        </w:rPr>
        <w:t>。餐饮店和市民均可通过微信扫描环信码了解该餐饮单位最新基本信息和环境信用评价情况，从问题整改效果看，环信码已初步发挥作用，环信码能督促餐饮单位主动承担油烟防治主体责任、积极进行问题整改，</w:t>
      </w:r>
      <w:r>
        <w:rPr>
          <w:rFonts w:hint="eastAsia" w:ascii="仿宋_GB2312" w:hAnsi="仿宋_GB2312" w:eastAsia="仿宋_GB2312" w:cs="仿宋_GB2312"/>
          <w:color w:val="auto"/>
          <w:sz w:val="28"/>
          <w:szCs w:val="28"/>
          <w:lang w:val="en-US" w:eastAsia="zh-CN"/>
        </w:rPr>
        <w:t>另拓展了</w:t>
      </w:r>
      <w:r>
        <w:rPr>
          <w:rFonts w:hint="eastAsia" w:ascii="仿宋_GB2312" w:hAnsi="仿宋_GB2312" w:eastAsia="仿宋_GB2312" w:cs="仿宋_GB2312"/>
          <w:color w:val="auto"/>
          <w:sz w:val="28"/>
          <w:szCs w:val="28"/>
        </w:rPr>
        <w:t>油烟污染市民监督新</w:t>
      </w:r>
      <w:r>
        <w:rPr>
          <w:rFonts w:hint="eastAsia" w:ascii="仿宋_GB2312" w:hAnsi="仿宋_GB2312" w:eastAsia="仿宋_GB2312" w:cs="仿宋_GB2312"/>
          <w:color w:val="auto"/>
          <w:sz w:val="28"/>
          <w:szCs w:val="28"/>
          <w:lang w:val="en-US" w:eastAsia="zh-CN"/>
        </w:rPr>
        <w:t>渠道</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环信码监管执法端已正式应用，环境执法人员、经授权的第三方服务机构可以采用专用APP扫描环信码，快速获取相关餐饮单位“精准画像”，如餐饮单位企业环境信用信息、基本信息（基础信息、净化设施、监测设备等）、餐饮油烟防治动态（环保设施运行状态、维护情况、台帐、在线监测信息等）、监管执法信息（监管动态、信访投诉、执法处罚）等，有助于提升监管效率</w:t>
      </w:r>
      <w:r>
        <w:rPr>
          <w:rFonts w:hint="eastAsia" w:ascii="仿宋_GB2312" w:hAnsi="仿宋_GB2312" w:eastAsia="仿宋_GB2312" w:cs="仿宋_GB2312"/>
          <w:color w:val="auto"/>
          <w:sz w:val="28"/>
          <w:szCs w:val="28"/>
        </w:rPr>
        <w:t>。</w:t>
      </w:r>
    </w:p>
    <w:p w14:paraId="0C734A54">
      <w:pPr>
        <w:keepNext w:val="0"/>
        <w:keepLines w:val="0"/>
        <w:pageBreakBefore w:val="0"/>
        <w:widowControl w:val="0"/>
        <w:kinsoku/>
        <w:wordWrap/>
        <w:overflowPunct/>
        <w:topLinePunct w:val="0"/>
        <w:autoSpaceDE/>
        <w:autoSpaceDN/>
        <w:bidi w:val="0"/>
        <w:adjustRightInd w:val="0"/>
        <w:snapToGrid w:val="0"/>
        <w:spacing w:before="438" w:beforeLines="100" w:after="220" w:afterLines="50" w:line="240" w:lineRule="auto"/>
        <w:textAlignment w:val="auto"/>
        <w:outlineLvl w:val="9"/>
        <w:rPr>
          <w:rFonts w:hint="eastAsia" w:ascii="黑体" w:hAnsi="宋体" w:eastAsia="黑体" w:cs="黑体"/>
          <w:color w:val="auto"/>
          <w:kern w:val="36"/>
          <w:szCs w:val="32"/>
        </w:rPr>
      </w:pPr>
      <w:r>
        <w:rPr>
          <w:rFonts w:hint="eastAsia" w:ascii="黑体" w:hAnsi="宋体" w:eastAsia="黑体" w:cs="黑体"/>
          <w:color w:val="auto"/>
          <w:kern w:val="36"/>
          <w:szCs w:val="32"/>
        </w:rPr>
        <w:t>【</w:t>
      </w:r>
      <w:r>
        <w:rPr>
          <w:rFonts w:hint="eastAsia" w:ascii="黑体" w:hAnsi="宋体" w:eastAsia="黑体" w:cs="黑体"/>
          <w:color w:val="auto"/>
          <w:kern w:val="36"/>
          <w:szCs w:val="32"/>
          <w:lang w:val="en-US" w:eastAsia="zh-CN"/>
        </w:rPr>
        <w:t>油烟在线监测设备</w:t>
      </w:r>
      <w:r>
        <w:rPr>
          <w:rFonts w:hint="eastAsia" w:ascii="黑体" w:hAnsi="宋体" w:eastAsia="黑体" w:cs="黑体"/>
          <w:color w:val="auto"/>
          <w:kern w:val="36"/>
          <w:szCs w:val="32"/>
        </w:rPr>
        <w:t>】</w:t>
      </w:r>
    </w:p>
    <w:p w14:paraId="3DC232E4">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徐家汇街道天钥桥餐饮聚集区8月纳入监管的66家餐饮单位中21家安装油烟在线监测设备，共计20台（振鼎鸡与平成屋123共用一台）；20台监测设备中14台正常运行；3台（泰醉、有喜屋、食其家）未正常运行；3台（羊舞狼、蓝蛙、羊肉串）未与区环保监测平台联网。</w:t>
      </w:r>
    </w:p>
    <w:p w14:paraId="12DA5B17">
      <w:pPr>
        <w:keepNext w:val="0"/>
        <w:keepLines w:val="0"/>
        <w:pageBreakBefore w:val="0"/>
        <w:widowControl w:val="0"/>
        <w:kinsoku/>
        <w:wordWrap/>
        <w:overflowPunct/>
        <w:topLinePunct w:val="0"/>
        <w:autoSpaceDE/>
        <w:autoSpaceDN/>
        <w:bidi w:val="0"/>
        <w:adjustRightInd w:val="0"/>
        <w:snapToGrid w:val="0"/>
        <w:spacing w:before="438" w:beforeLines="100" w:after="220" w:afterLines="50" w:line="240" w:lineRule="auto"/>
        <w:textAlignment w:val="auto"/>
        <w:outlineLvl w:val="9"/>
        <w:rPr>
          <w:rFonts w:hint="eastAsia" w:ascii="黑体" w:hAnsi="宋体" w:eastAsia="黑体" w:cs="黑体"/>
          <w:color w:val="auto"/>
          <w:kern w:val="36"/>
          <w:szCs w:val="32"/>
        </w:rPr>
      </w:pPr>
      <w:r>
        <w:rPr>
          <w:rFonts w:hint="eastAsia" w:ascii="黑体" w:hAnsi="宋体" w:eastAsia="黑体" w:cs="黑体"/>
          <w:color w:val="auto"/>
          <w:kern w:val="36"/>
          <w:szCs w:val="32"/>
        </w:rPr>
        <w:t>【环信码】</w:t>
      </w:r>
    </w:p>
    <w:p w14:paraId="4977291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对</w:t>
      </w:r>
      <w:r>
        <w:rPr>
          <w:rFonts w:hint="eastAsia" w:ascii="仿宋_GB2312" w:hAnsi="仿宋_GB2312" w:eastAsia="仿宋_GB2312" w:cs="仿宋_GB2312"/>
          <w:color w:val="auto"/>
          <w:sz w:val="28"/>
          <w:szCs w:val="28"/>
          <w:lang w:val="en-US" w:eastAsia="zh-CN"/>
        </w:rPr>
        <w:t>已</w:t>
      </w:r>
      <w:r>
        <w:rPr>
          <w:rFonts w:hint="eastAsia" w:ascii="仿宋_GB2312" w:hAnsi="仿宋_GB2312" w:eastAsia="仿宋_GB2312" w:cs="仿宋_GB2312"/>
          <w:color w:val="auto"/>
          <w:sz w:val="28"/>
          <w:szCs w:val="28"/>
        </w:rPr>
        <w:t>监管餐饮单位进行初步的油烟防治规范化评估，并进行环信码的分级认定</w:t>
      </w:r>
      <w:r>
        <w:rPr>
          <w:rFonts w:hint="eastAsia" w:ascii="仿宋_GB2312" w:hAnsi="仿宋_GB2312" w:eastAsia="仿宋_GB2312" w:cs="仿宋_GB2312"/>
          <w:color w:val="auto"/>
          <w:sz w:val="28"/>
          <w:szCs w:val="28"/>
          <w:lang w:val="en-US" w:eastAsia="zh-CN"/>
        </w:rPr>
        <w:t>，8月63</w:t>
      </w:r>
      <w:r>
        <w:rPr>
          <w:rFonts w:hint="eastAsia" w:ascii="仿宋_GB2312" w:hAnsi="仿宋_GB2312" w:eastAsia="仿宋_GB2312" w:cs="仿宋_GB2312"/>
          <w:color w:val="auto"/>
          <w:sz w:val="28"/>
          <w:szCs w:val="28"/>
        </w:rPr>
        <w:t>家餐饮单位</w:t>
      </w:r>
      <w:r>
        <w:rPr>
          <w:rFonts w:hint="eastAsia" w:ascii="仿宋_GB2312" w:hAnsi="仿宋_GB2312" w:eastAsia="仿宋_GB2312" w:cs="仿宋_GB2312"/>
          <w:color w:val="auto"/>
          <w:sz w:val="28"/>
          <w:szCs w:val="28"/>
          <w:lang w:val="en-US" w:eastAsia="zh-CN"/>
        </w:rPr>
        <w:t>进行</w:t>
      </w:r>
      <w:r>
        <w:rPr>
          <w:rFonts w:hint="eastAsia" w:ascii="仿宋_GB2312" w:hAnsi="仿宋_GB2312" w:eastAsia="仿宋_GB2312" w:cs="仿宋_GB2312"/>
          <w:color w:val="auto"/>
          <w:sz w:val="28"/>
          <w:szCs w:val="28"/>
        </w:rPr>
        <w:t>环境信用参评</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其中</w:t>
      </w:r>
      <w:r>
        <w:rPr>
          <w:rFonts w:hint="eastAsia" w:ascii="仿宋_GB2312" w:hAnsi="仿宋_GB2312" w:eastAsia="仿宋_GB2312" w:cs="仿宋_GB2312"/>
          <w:color w:val="auto"/>
          <w:sz w:val="28"/>
          <w:szCs w:val="28"/>
        </w:rPr>
        <w:t>绿码</w:t>
      </w:r>
      <w:r>
        <w:rPr>
          <w:rFonts w:hint="eastAsia" w:ascii="仿宋_GB2312" w:hAnsi="仿宋_GB2312" w:eastAsia="仿宋_GB2312" w:cs="仿宋_GB2312"/>
          <w:color w:val="auto"/>
          <w:sz w:val="28"/>
          <w:szCs w:val="28"/>
          <w:lang w:val="en-US" w:eastAsia="zh-CN"/>
        </w:rPr>
        <w:t>47</w:t>
      </w:r>
      <w:r>
        <w:rPr>
          <w:rFonts w:hint="eastAsia" w:ascii="仿宋_GB2312" w:hAnsi="仿宋_GB2312" w:eastAsia="仿宋_GB2312" w:cs="仿宋_GB2312"/>
          <w:color w:val="auto"/>
          <w:sz w:val="28"/>
          <w:szCs w:val="28"/>
        </w:rPr>
        <w:t>家（规范</w:t>
      </w:r>
      <w:r>
        <w:rPr>
          <w:rFonts w:hint="eastAsia" w:ascii="仿宋_GB2312" w:hAnsi="仿宋_GB2312" w:eastAsia="仿宋_GB2312" w:cs="仿宋_GB2312"/>
          <w:color w:val="auto"/>
          <w:sz w:val="28"/>
          <w:szCs w:val="28"/>
          <w:lang w:val="en-US" w:eastAsia="zh-CN"/>
        </w:rPr>
        <w:t>、基本规范</w:t>
      </w:r>
      <w:r>
        <w:rPr>
          <w:rFonts w:hint="eastAsia" w:ascii="仿宋_GB2312" w:hAnsi="仿宋_GB2312" w:eastAsia="仿宋_GB2312" w:cs="仿宋_GB2312"/>
          <w:color w:val="auto"/>
          <w:sz w:val="28"/>
          <w:szCs w:val="28"/>
        </w:rPr>
        <w:t>）、黄码</w:t>
      </w:r>
      <w:r>
        <w:rPr>
          <w:rFonts w:hint="eastAsia" w:ascii="仿宋_GB2312" w:hAnsi="仿宋_GB2312" w:eastAsia="仿宋_GB2312" w:cs="仿宋_GB2312"/>
          <w:color w:val="auto"/>
          <w:sz w:val="28"/>
          <w:szCs w:val="28"/>
          <w:lang w:val="en-US" w:eastAsia="zh-CN"/>
        </w:rPr>
        <w:t>14</w:t>
      </w:r>
      <w:r>
        <w:rPr>
          <w:rFonts w:hint="eastAsia" w:ascii="仿宋_GB2312" w:hAnsi="仿宋_GB2312" w:eastAsia="仿宋_GB2312" w:cs="仿宋_GB2312"/>
          <w:color w:val="auto"/>
          <w:sz w:val="28"/>
          <w:szCs w:val="28"/>
        </w:rPr>
        <w:t>家（不规范）、</w:t>
      </w:r>
      <w:r>
        <w:rPr>
          <w:rFonts w:hint="eastAsia" w:ascii="仿宋_GB2312" w:hAnsi="仿宋_GB2312" w:eastAsia="仿宋_GB2312" w:cs="仿宋_GB2312"/>
          <w:color w:val="auto"/>
          <w:sz w:val="28"/>
          <w:szCs w:val="28"/>
          <w:lang w:val="en-US" w:eastAsia="zh-CN"/>
        </w:rPr>
        <w:t>红码2家（严重不规范）。</w:t>
      </w:r>
      <w:r>
        <w:rPr>
          <w:rFonts w:hint="eastAsia" w:ascii="仿宋_GB2312" w:hAnsi="仿宋_GB2312" w:eastAsia="仿宋_GB2312" w:cs="仿宋_GB2312"/>
          <w:color w:val="auto"/>
          <w:sz w:val="28"/>
          <w:szCs w:val="28"/>
        </w:rPr>
        <w:t>绿码餐饮单位占营业中涉油烟餐饮单位</w:t>
      </w:r>
      <w:r>
        <w:rPr>
          <w:rFonts w:hint="eastAsia" w:ascii="仿宋_GB2312" w:hAnsi="仿宋_GB2312" w:eastAsia="仿宋_GB2312" w:cs="仿宋_GB2312"/>
          <w:color w:val="auto"/>
          <w:sz w:val="28"/>
          <w:szCs w:val="28"/>
          <w:lang w:val="en-US" w:eastAsia="zh-CN"/>
        </w:rPr>
        <w:t>74.6%。8</w:t>
      </w:r>
      <w:r>
        <w:rPr>
          <w:rFonts w:hint="eastAsia" w:ascii="仿宋_GB2312" w:hAnsi="仿宋_GB2312" w:eastAsia="仿宋_GB2312" w:cs="仿宋_GB2312"/>
          <w:color w:val="auto"/>
          <w:sz w:val="28"/>
          <w:szCs w:val="28"/>
        </w:rPr>
        <w:t>月详细数据表</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w:t>
      </w:r>
    </w:p>
    <w:p w14:paraId="646A6491">
      <w:pPr>
        <w:adjustRightInd w:val="0"/>
        <w:snapToGrid w:val="0"/>
        <w:spacing w:before="218" w:beforeLines="5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表</w:t>
      </w:r>
      <w:r>
        <w:rPr>
          <w:rFonts w:hint="eastAsia" w:ascii="仿宋" w:hAnsi="仿宋" w:eastAsia="仿宋" w:cs="仿宋"/>
          <w:color w:val="auto"/>
          <w:sz w:val="24"/>
          <w:szCs w:val="24"/>
          <w:lang w:val="en-US" w:eastAsia="zh-CN"/>
        </w:rPr>
        <w:t>2</w:t>
      </w:r>
      <w:r>
        <w:rPr>
          <w:rFonts w:hint="eastAsia" w:ascii="仿宋" w:hAnsi="仿宋" w:cs="仿宋"/>
          <w:color w:val="auto"/>
          <w:sz w:val="24"/>
          <w:szCs w:val="24"/>
          <w:lang w:val="en-US" w:eastAsia="zh-CN"/>
        </w:rPr>
        <w:t xml:space="preserve"> </w:t>
      </w:r>
      <w:r>
        <w:rPr>
          <w:rFonts w:hint="eastAsia" w:ascii="仿宋" w:hAnsi="仿宋" w:eastAsia="仿宋" w:cs="仿宋"/>
          <w:color w:val="auto"/>
          <w:sz w:val="24"/>
          <w:szCs w:val="24"/>
        </w:rPr>
        <w:t xml:space="preserve"> </w:t>
      </w:r>
      <w:r>
        <w:rPr>
          <w:rFonts w:hint="eastAsia" w:ascii="仿宋" w:hAnsi="仿宋" w:cs="仿宋"/>
          <w:color w:val="auto"/>
          <w:sz w:val="24"/>
          <w:szCs w:val="24"/>
          <w:lang w:val="en-US" w:eastAsia="zh-CN"/>
        </w:rPr>
        <w:t>8</w:t>
      </w:r>
      <w:r>
        <w:rPr>
          <w:rFonts w:hint="eastAsia" w:ascii="仿宋" w:hAnsi="仿宋" w:eastAsia="仿宋" w:cs="仿宋"/>
          <w:color w:val="auto"/>
          <w:sz w:val="24"/>
          <w:szCs w:val="24"/>
        </w:rPr>
        <w:t>月</w:t>
      </w:r>
      <w:r>
        <w:rPr>
          <w:rFonts w:hint="eastAsia" w:ascii="仿宋" w:hAnsi="仿宋" w:cs="仿宋"/>
          <w:color w:val="auto"/>
          <w:sz w:val="24"/>
          <w:szCs w:val="24"/>
          <w:lang w:val="en-US" w:eastAsia="zh-CN"/>
        </w:rPr>
        <w:t>环信码详情表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1"/>
        <w:gridCol w:w="1031"/>
        <w:gridCol w:w="1032"/>
        <w:gridCol w:w="1068"/>
        <w:gridCol w:w="1069"/>
        <w:gridCol w:w="1030"/>
        <w:gridCol w:w="1031"/>
      </w:tblGrid>
      <w:tr w14:paraId="47631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261" w:type="dxa"/>
            <w:vMerge w:val="restart"/>
            <w:shd w:val="clear" w:color="auto" w:fill="auto"/>
            <w:noWrap w:val="0"/>
            <w:vAlign w:val="center"/>
          </w:tcPr>
          <w:p w14:paraId="6305FA75">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环信码</w:t>
            </w:r>
          </w:p>
        </w:tc>
        <w:tc>
          <w:tcPr>
            <w:tcW w:w="2063" w:type="dxa"/>
            <w:gridSpan w:val="2"/>
            <w:tcBorders>
              <w:bottom w:val="single" w:color="auto" w:sz="4" w:space="0"/>
            </w:tcBorders>
            <w:shd w:val="solid" w:color="3DE33D" w:fill="auto"/>
            <w:noWrap w:val="0"/>
            <w:vAlign w:val="center"/>
          </w:tcPr>
          <w:p w14:paraId="287372FC">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绿码</w:t>
            </w:r>
          </w:p>
        </w:tc>
        <w:tc>
          <w:tcPr>
            <w:tcW w:w="2137" w:type="dxa"/>
            <w:gridSpan w:val="2"/>
            <w:tcBorders>
              <w:bottom w:val="single" w:color="auto" w:sz="4" w:space="0"/>
            </w:tcBorders>
            <w:shd w:val="solid" w:color="FFFF00" w:fill="auto"/>
            <w:noWrap w:val="0"/>
            <w:vAlign w:val="center"/>
          </w:tcPr>
          <w:p w14:paraId="17548DBF">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黄码</w:t>
            </w:r>
          </w:p>
        </w:tc>
        <w:tc>
          <w:tcPr>
            <w:tcW w:w="2061" w:type="dxa"/>
            <w:gridSpan w:val="2"/>
            <w:tcBorders>
              <w:bottom w:val="single" w:color="auto" w:sz="4" w:space="0"/>
            </w:tcBorders>
            <w:shd w:val="solid" w:color="FF0000" w:fill="auto"/>
            <w:noWrap w:val="0"/>
            <w:vAlign w:val="center"/>
          </w:tcPr>
          <w:p w14:paraId="538A8DA9">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红码</w:t>
            </w:r>
          </w:p>
        </w:tc>
      </w:tr>
      <w:tr w14:paraId="4F98D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261" w:type="dxa"/>
            <w:vMerge w:val="continue"/>
            <w:noWrap w:val="0"/>
            <w:vAlign w:val="center"/>
          </w:tcPr>
          <w:p w14:paraId="1BD96785">
            <w:pPr>
              <w:adjustRightInd w:val="0"/>
              <w:snapToGrid w:val="0"/>
              <w:jc w:val="center"/>
              <w:rPr>
                <w:rFonts w:hint="eastAsia" w:ascii="仿宋" w:hAnsi="仿宋" w:eastAsia="仿宋" w:cs="仿宋"/>
                <w:color w:val="auto"/>
                <w:sz w:val="24"/>
                <w:szCs w:val="24"/>
              </w:rPr>
            </w:pPr>
          </w:p>
        </w:tc>
        <w:tc>
          <w:tcPr>
            <w:tcW w:w="1031" w:type="dxa"/>
            <w:noWrap w:val="0"/>
            <w:vAlign w:val="center"/>
          </w:tcPr>
          <w:p w14:paraId="665D4938">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1032" w:type="dxa"/>
            <w:noWrap w:val="0"/>
            <w:vAlign w:val="center"/>
          </w:tcPr>
          <w:p w14:paraId="63A89449">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占比</w:t>
            </w:r>
          </w:p>
        </w:tc>
        <w:tc>
          <w:tcPr>
            <w:tcW w:w="1068" w:type="dxa"/>
            <w:noWrap w:val="0"/>
            <w:vAlign w:val="center"/>
          </w:tcPr>
          <w:p w14:paraId="78A29613">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1069" w:type="dxa"/>
            <w:noWrap w:val="0"/>
            <w:vAlign w:val="center"/>
          </w:tcPr>
          <w:p w14:paraId="6B1A523D">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占比</w:t>
            </w:r>
          </w:p>
        </w:tc>
        <w:tc>
          <w:tcPr>
            <w:tcW w:w="1030" w:type="dxa"/>
            <w:noWrap w:val="0"/>
            <w:vAlign w:val="center"/>
          </w:tcPr>
          <w:p w14:paraId="4FD487D4">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1031" w:type="dxa"/>
            <w:noWrap w:val="0"/>
            <w:vAlign w:val="center"/>
          </w:tcPr>
          <w:p w14:paraId="2228C926">
            <w:pPr>
              <w:adjustRightInd w:val="0"/>
              <w:snapToGrid w:val="0"/>
              <w:jc w:val="center"/>
              <w:rPr>
                <w:rFonts w:hint="eastAsia" w:ascii="仿宋" w:hAnsi="仿宋" w:eastAsia="仿宋" w:cs="仿宋"/>
                <w:color w:val="auto"/>
                <w:sz w:val="24"/>
                <w:szCs w:val="24"/>
              </w:rPr>
            </w:pPr>
            <w:r>
              <w:rPr>
                <w:rFonts w:hint="eastAsia" w:ascii="仿宋" w:hAnsi="仿宋" w:eastAsia="仿宋" w:cs="仿宋"/>
                <w:color w:val="auto"/>
                <w:sz w:val="24"/>
                <w:szCs w:val="24"/>
              </w:rPr>
              <w:t>占比</w:t>
            </w:r>
          </w:p>
        </w:tc>
      </w:tr>
      <w:tr w14:paraId="17C0A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2261" w:type="dxa"/>
            <w:noWrap w:val="0"/>
            <w:vAlign w:val="center"/>
          </w:tcPr>
          <w:p w14:paraId="0DC3FF21">
            <w:pPr>
              <w:adjustRightInd w:val="0"/>
              <w:snapToGrid w:val="0"/>
              <w:jc w:val="center"/>
              <w:rPr>
                <w:rFonts w:hint="default" w:ascii="仿宋" w:hAnsi="仿宋" w:cs="仿宋"/>
                <w:color w:val="auto"/>
                <w:sz w:val="24"/>
                <w:szCs w:val="24"/>
                <w:lang w:val="en-US" w:eastAsia="zh-CN"/>
              </w:rPr>
            </w:pPr>
            <w:r>
              <w:rPr>
                <w:rFonts w:hint="eastAsia" w:ascii="仿宋" w:hAnsi="仿宋" w:cs="仿宋"/>
                <w:color w:val="auto"/>
                <w:sz w:val="24"/>
                <w:szCs w:val="24"/>
                <w:lang w:val="en-US" w:eastAsia="zh-CN"/>
              </w:rPr>
              <w:t>8月数据</w:t>
            </w:r>
          </w:p>
        </w:tc>
        <w:tc>
          <w:tcPr>
            <w:tcW w:w="1031" w:type="dxa"/>
            <w:noWrap w:val="0"/>
            <w:vAlign w:val="center"/>
          </w:tcPr>
          <w:p w14:paraId="1FA65E05">
            <w:pPr>
              <w:keepNext w:val="0"/>
              <w:keepLines w:val="0"/>
              <w:widowControl/>
              <w:suppressLineNumbers w:val="0"/>
              <w:jc w:val="center"/>
              <w:textAlignment w:val="center"/>
              <w:rPr>
                <w:rFonts w:hint="default" w:ascii="仿宋_GB2312" w:hAnsi="宋体" w:eastAsia="仿宋_GB2312" w:cs="仿宋_GB2312"/>
                <w:i w:val="0"/>
                <w:color w:val="auto"/>
                <w:kern w:val="0"/>
                <w:sz w:val="24"/>
                <w:szCs w:val="24"/>
                <w:u w:val="none"/>
                <w:lang w:val="en-US" w:eastAsia="zh-CN" w:bidi="ar"/>
              </w:rPr>
            </w:pPr>
            <w:r>
              <w:rPr>
                <w:rFonts w:hint="eastAsia" w:ascii="仿宋_GB2312" w:hAnsi="宋体" w:eastAsia="仿宋_GB2312" w:cs="仿宋_GB2312"/>
                <w:i w:val="0"/>
                <w:color w:val="auto"/>
                <w:kern w:val="0"/>
                <w:sz w:val="24"/>
                <w:szCs w:val="24"/>
                <w:u w:val="none"/>
                <w:lang w:val="en-US" w:eastAsia="zh-CN" w:bidi="ar"/>
              </w:rPr>
              <w:t>47</w:t>
            </w:r>
          </w:p>
        </w:tc>
        <w:tc>
          <w:tcPr>
            <w:tcW w:w="1032" w:type="dxa"/>
            <w:noWrap w:val="0"/>
            <w:vAlign w:val="center"/>
          </w:tcPr>
          <w:p w14:paraId="69D1E78A">
            <w:pPr>
              <w:keepNext w:val="0"/>
              <w:keepLines w:val="0"/>
              <w:widowControl/>
              <w:suppressLineNumbers w:val="0"/>
              <w:jc w:val="center"/>
              <w:textAlignment w:val="center"/>
              <w:rPr>
                <w:rFonts w:hint="default" w:ascii="仿宋_GB2312" w:hAnsi="宋体" w:eastAsia="仿宋_GB2312" w:cs="仿宋_GB2312"/>
                <w:i w:val="0"/>
                <w:color w:val="auto"/>
                <w:kern w:val="0"/>
                <w:sz w:val="24"/>
                <w:szCs w:val="24"/>
                <w:u w:val="none"/>
                <w:lang w:val="en-US" w:eastAsia="zh-CN" w:bidi="ar"/>
              </w:rPr>
            </w:pPr>
            <w:r>
              <w:rPr>
                <w:rFonts w:hint="eastAsia" w:ascii="仿宋_GB2312" w:hAnsi="宋体" w:eastAsia="仿宋_GB2312" w:cs="仿宋_GB2312"/>
                <w:i w:val="0"/>
                <w:color w:val="auto"/>
                <w:kern w:val="0"/>
                <w:sz w:val="24"/>
                <w:szCs w:val="24"/>
                <w:u w:val="none"/>
                <w:lang w:val="en-US" w:eastAsia="zh-CN" w:bidi="ar"/>
              </w:rPr>
              <w:t>74.6%</w:t>
            </w:r>
          </w:p>
        </w:tc>
        <w:tc>
          <w:tcPr>
            <w:tcW w:w="1068" w:type="dxa"/>
            <w:noWrap w:val="0"/>
            <w:vAlign w:val="center"/>
          </w:tcPr>
          <w:p w14:paraId="3F671487">
            <w:pPr>
              <w:keepNext w:val="0"/>
              <w:keepLines w:val="0"/>
              <w:widowControl/>
              <w:suppressLineNumbers w:val="0"/>
              <w:jc w:val="center"/>
              <w:textAlignment w:val="center"/>
              <w:rPr>
                <w:rFonts w:hint="default" w:ascii="仿宋_GB2312" w:hAnsi="宋体" w:eastAsia="仿宋_GB2312" w:cs="仿宋_GB2312"/>
                <w:i w:val="0"/>
                <w:color w:val="auto"/>
                <w:kern w:val="0"/>
                <w:sz w:val="24"/>
                <w:szCs w:val="24"/>
                <w:u w:val="none"/>
                <w:lang w:val="en-US" w:eastAsia="zh-CN" w:bidi="ar"/>
              </w:rPr>
            </w:pPr>
            <w:r>
              <w:rPr>
                <w:rFonts w:hint="eastAsia" w:ascii="仿宋_GB2312" w:hAnsi="宋体" w:eastAsia="仿宋_GB2312" w:cs="仿宋_GB2312"/>
                <w:i w:val="0"/>
                <w:color w:val="auto"/>
                <w:kern w:val="0"/>
                <w:sz w:val="24"/>
                <w:szCs w:val="24"/>
                <w:u w:val="none"/>
                <w:lang w:val="en-US" w:eastAsia="zh-CN" w:bidi="ar"/>
              </w:rPr>
              <w:t>14</w:t>
            </w:r>
          </w:p>
        </w:tc>
        <w:tc>
          <w:tcPr>
            <w:tcW w:w="1069" w:type="dxa"/>
            <w:noWrap w:val="0"/>
            <w:vAlign w:val="center"/>
          </w:tcPr>
          <w:p w14:paraId="1F9431E0">
            <w:pPr>
              <w:keepNext w:val="0"/>
              <w:keepLines w:val="0"/>
              <w:widowControl/>
              <w:suppressLineNumbers w:val="0"/>
              <w:jc w:val="center"/>
              <w:textAlignment w:val="center"/>
              <w:rPr>
                <w:rFonts w:hint="default" w:ascii="仿宋_GB2312" w:hAnsi="宋体" w:eastAsia="仿宋_GB2312" w:cs="仿宋_GB2312"/>
                <w:i w:val="0"/>
                <w:color w:val="auto"/>
                <w:kern w:val="0"/>
                <w:sz w:val="24"/>
                <w:szCs w:val="24"/>
                <w:u w:val="none"/>
                <w:lang w:val="en-US" w:eastAsia="zh-CN" w:bidi="ar"/>
              </w:rPr>
            </w:pPr>
            <w:r>
              <w:rPr>
                <w:rFonts w:hint="eastAsia" w:ascii="仿宋_GB2312" w:hAnsi="宋体" w:eastAsia="仿宋_GB2312" w:cs="仿宋_GB2312"/>
                <w:i w:val="0"/>
                <w:color w:val="auto"/>
                <w:kern w:val="0"/>
                <w:sz w:val="24"/>
                <w:szCs w:val="24"/>
                <w:u w:val="none"/>
                <w:lang w:val="en-US" w:eastAsia="zh-CN" w:bidi="ar"/>
              </w:rPr>
              <w:t>22.2%</w:t>
            </w:r>
          </w:p>
        </w:tc>
        <w:tc>
          <w:tcPr>
            <w:tcW w:w="1030" w:type="dxa"/>
            <w:noWrap w:val="0"/>
            <w:vAlign w:val="center"/>
          </w:tcPr>
          <w:p w14:paraId="419D84A3">
            <w:pPr>
              <w:keepNext w:val="0"/>
              <w:keepLines w:val="0"/>
              <w:widowControl/>
              <w:suppressLineNumbers w:val="0"/>
              <w:jc w:val="center"/>
              <w:textAlignment w:val="center"/>
              <w:rPr>
                <w:rFonts w:hint="default" w:ascii="仿宋_GB2312" w:hAnsi="宋体" w:eastAsia="仿宋_GB2312" w:cs="仿宋_GB2312"/>
                <w:i w:val="0"/>
                <w:color w:val="auto"/>
                <w:kern w:val="0"/>
                <w:sz w:val="24"/>
                <w:szCs w:val="24"/>
                <w:u w:val="none"/>
                <w:lang w:val="en-US" w:eastAsia="zh-CN" w:bidi="ar"/>
              </w:rPr>
            </w:pPr>
            <w:r>
              <w:rPr>
                <w:rFonts w:hint="eastAsia" w:ascii="仿宋_GB2312" w:hAnsi="宋体" w:eastAsia="仿宋_GB2312" w:cs="仿宋_GB2312"/>
                <w:i w:val="0"/>
                <w:color w:val="auto"/>
                <w:kern w:val="0"/>
                <w:sz w:val="24"/>
                <w:szCs w:val="24"/>
                <w:u w:val="none"/>
                <w:lang w:val="en-US" w:eastAsia="zh-CN" w:bidi="ar"/>
              </w:rPr>
              <w:t>2</w:t>
            </w:r>
          </w:p>
        </w:tc>
        <w:tc>
          <w:tcPr>
            <w:tcW w:w="1031" w:type="dxa"/>
            <w:noWrap w:val="0"/>
            <w:vAlign w:val="center"/>
          </w:tcPr>
          <w:p w14:paraId="3D4191BD">
            <w:pPr>
              <w:keepNext w:val="0"/>
              <w:keepLines w:val="0"/>
              <w:widowControl/>
              <w:suppressLineNumbers w:val="0"/>
              <w:jc w:val="center"/>
              <w:textAlignment w:val="center"/>
              <w:rPr>
                <w:rFonts w:hint="default" w:ascii="仿宋_GB2312" w:hAnsi="宋体" w:eastAsia="仿宋_GB2312" w:cs="仿宋_GB2312"/>
                <w:i w:val="0"/>
                <w:color w:val="auto"/>
                <w:kern w:val="0"/>
                <w:sz w:val="24"/>
                <w:szCs w:val="24"/>
                <w:u w:val="none"/>
                <w:lang w:val="en-US" w:eastAsia="zh-CN" w:bidi="ar"/>
              </w:rPr>
            </w:pPr>
            <w:r>
              <w:rPr>
                <w:rFonts w:hint="eastAsia" w:ascii="仿宋_GB2312" w:hAnsi="宋体" w:eastAsia="仿宋_GB2312" w:cs="仿宋_GB2312"/>
                <w:i w:val="0"/>
                <w:color w:val="auto"/>
                <w:kern w:val="0"/>
                <w:sz w:val="24"/>
                <w:szCs w:val="24"/>
                <w:u w:val="none"/>
                <w:lang w:val="en-US" w:eastAsia="zh-CN" w:bidi="ar"/>
              </w:rPr>
              <w:t>3.2%</w:t>
            </w:r>
          </w:p>
        </w:tc>
      </w:tr>
    </w:tbl>
    <w:p w14:paraId="289B9EE1">
      <w:pPr>
        <w:keepNext w:val="0"/>
        <w:keepLines w:val="0"/>
        <w:pageBreakBefore w:val="0"/>
        <w:widowControl w:val="0"/>
        <w:kinsoku/>
        <w:wordWrap/>
        <w:overflowPunct/>
        <w:topLinePunct w:val="0"/>
        <w:autoSpaceDE/>
        <w:autoSpaceDN/>
        <w:bidi w:val="0"/>
        <w:adjustRightInd w:val="0"/>
        <w:snapToGrid w:val="0"/>
        <w:spacing w:before="438" w:beforeLines="100" w:after="220" w:afterLines="50" w:line="240" w:lineRule="auto"/>
        <w:textAlignment w:val="auto"/>
        <w:outlineLvl w:val="9"/>
        <w:rPr>
          <w:rFonts w:hint="eastAsia" w:ascii="黑体" w:hAnsi="宋体" w:eastAsia="黑体" w:cs="黑体"/>
          <w:color w:val="auto"/>
          <w:kern w:val="36"/>
          <w:szCs w:val="32"/>
        </w:rPr>
      </w:pPr>
      <w:r>
        <w:rPr>
          <w:rFonts w:hint="eastAsia" w:ascii="黑体" w:hAnsi="宋体" w:eastAsia="黑体" w:cs="黑体"/>
          <w:color w:val="auto"/>
          <w:kern w:val="36"/>
          <w:szCs w:val="32"/>
        </w:rPr>
        <w:t>【</w:t>
      </w:r>
      <w:r>
        <w:rPr>
          <w:rFonts w:hint="eastAsia" w:ascii="黑体" w:hAnsi="宋体" w:eastAsia="黑体" w:cs="黑体"/>
          <w:color w:val="auto"/>
          <w:kern w:val="36"/>
          <w:szCs w:val="32"/>
          <w:lang w:eastAsia="zh-CN"/>
        </w:rPr>
        <w:t>重点监管</w:t>
      </w:r>
      <w:r>
        <w:rPr>
          <w:rFonts w:hint="eastAsia" w:ascii="黑体" w:hAnsi="宋体" w:eastAsia="黑体" w:cs="黑体"/>
          <w:color w:val="auto"/>
          <w:kern w:val="36"/>
          <w:szCs w:val="32"/>
        </w:rPr>
        <w:t>】</w:t>
      </w:r>
    </w:p>
    <w:p w14:paraId="299FF87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left"/>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拟于2023年9月对京悦南门涮肉、醉东庐进行重点专项监管。</w:t>
      </w:r>
    </w:p>
    <w:p w14:paraId="7A20BB6F">
      <w:pPr>
        <w:rPr>
          <w:rFonts w:hint="default" w:ascii="仿宋_GB2312" w:hAnsi="仿宋_GB2312" w:eastAsia="仿宋_GB2312" w:cs="仿宋_GB2312"/>
          <w:color w:val="auto"/>
          <w:sz w:val="28"/>
          <w:szCs w:val="28"/>
          <w:lang w:val="en-US" w:eastAsia="zh-CN"/>
        </w:rPr>
        <w:sectPr>
          <w:footerReference r:id="rId3" w:type="default"/>
          <w:pgSz w:w="11906" w:h="16838"/>
          <w:pgMar w:top="1440" w:right="1440" w:bottom="1440" w:left="1440" w:header="851" w:footer="992" w:gutter="0"/>
          <w:pgNumType w:fmt="decimal" w:start="1"/>
          <w:cols w:space="720" w:num="1"/>
          <w:docGrid w:type="lines" w:linePitch="436" w:charSpace="0"/>
        </w:sectPr>
      </w:pPr>
    </w:p>
    <w:p w14:paraId="1DBAE196">
      <w:pPr>
        <w:rPr>
          <w:b/>
          <w:bCs/>
          <w:color w:val="auto"/>
        </w:rPr>
      </w:pPr>
      <w:r>
        <w:rPr>
          <w:rFonts w:hint="eastAsia"/>
          <w:b/>
          <w:bCs/>
          <w:color w:val="auto"/>
        </w:rPr>
        <w:t>附件：重点监管餐饮单位清单</w:t>
      </w:r>
    </w:p>
    <w:tbl>
      <w:tblPr>
        <w:tblStyle w:val="6"/>
        <w:tblW w:w="14998" w:type="dxa"/>
        <w:jc w:val="center"/>
        <w:tblLayout w:type="fixed"/>
        <w:tblCellMar>
          <w:top w:w="0" w:type="dxa"/>
          <w:left w:w="0" w:type="dxa"/>
          <w:bottom w:w="0" w:type="dxa"/>
          <w:right w:w="0" w:type="dxa"/>
        </w:tblCellMar>
      </w:tblPr>
      <w:tblGrid>
        <w:gridCol w:w="415"/>
        <w:gridCol w:w="899"/>
        <w:gridCol w:w="885"/>
        <w:gridCol w:w="1000"/>
        <w:gridCol w:w="509"/>
        <w:gridCol w:w="582"/>
        <w:gridCol w:w="636"/>
        <w:gridCol w:w="618"/>
        <w:gridCol w:w="693"/>
        <w:gridCol w:w="1747"/>
        <w:gridCol w:w="1053"/>
        <w:gridCol w:w="3023"/>
        <w:gridCol w:w="1184"/>
        <w:gridCol w:w="540"/>
        <w:gridCol w:w="555"/>
        <w:gridCol w:w="659"/>
      </w:tblGrid>
      <w:tr w14:paraId="35CC683B">
        <w:tblPrEx>
          <w:tblCellMar>
            <w:top w:w="0" w:type="dxa"/>
            <w:left w:w="0" w:type="dxa"/>
            <w:bottom w:w="0" w:type="dxa"/>
            <w:right w:w="0" w:type="dxa"/>
          </w:tblCellMar>
        </w:tblPrEx>
        <w:trPr>
          <w:cantSplit/>
          <w:trHeight w:val="846" w:hRule="atLeast"/>
          <w:tblHeader/>
          <w:jc w:val="center"/>
        </w:trPr>
        <w:tc>
          <w:tcPr>
            <w:tcW w:w="415" w:type="dxa"/>
            <w:vMerge w:val="restart"/>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4C8E4E9C">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序号</w:t>
            </w:r>
          </w:p>
        </w:tc>
        <w:tc>
          <w:tcPr>
            <w:tcW w:w="899" w:type="dxa"/>
            <w:vMerge w:val="restart"/>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03EC7679">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店铺名称</w:t>
            </w:r>
          </w:p>
        </w:tc>
        <w:tc>
          <w:tcPr>
            <w:tcW w:w="885" w:type="dxa"/>
            <w:vMerge w:val="restart"/>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535311C0">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公司名称</w:t>
            </w:r>
          </w:p>
        </w:tc>
        <w:tc>
          <w:tcPr>
            <w:tcW w:w="1000" w:type="dxa"/>
            <w:vMerge w:val="restart"/>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23043507">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经营地址</w:t>
            </w:r>
          </w:p>
        </w:tc>
        <w:tc>
          <w:tcPr>
            <w:tcW w:w="509" w:type="dxa"/>
            <w:vMerge w:val="restart"/>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6D5A9260">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所属</w:t>
            </w:r>
          </w:p>
          <w:p w14:paraId="04AF0A1B">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集中区</w:t>
            </w:r>
          </w:p>
        </w:tc>
        <w:tc>
          <w:tcPr>
            <w:tcW w:w="582" w:type="dxa"/>
            <w:vMerge w:val="restart"/>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059C0DB2">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经营</w:t>
            </w:r>
          </w:p>
          <w:p w14:paraId="1CC868B3">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状态</w:t>
            </w:r>
          </w:p>
        </w:tc>
        <w:tc>
          <w:tcPr>
            <w:tcW w:w="636" w:type="dxa"/>
            <w:vMerge w:val="restart"/>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48272765">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油烟</w:t>
            </w:r>
          </w:p>
          <w:p w14:paraId="6EA11A85">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类型</w:t>
            </w:r>
          </w:p>
        </w:tc>
        <w:tc>
          <w:tcPr>
            <w:tcW w:w="1311" w:type="dxa"/>
            <w:gridSpan w:val="2"/>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0FB10923">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规范性评估</w:t>
            </w:r>
          </w:p>
        </w:tc>
        <w:tc>
          <w:tcPr>
            <w:tcW w:w="5823" w:type="dxa"/>
            <w:gridSpan w:val="3"/>
            <w:tcBorders>
              <w:top w:val="single" w:color="000000" w:sz="8" w:space="0"/>
              <w:left w:val="nil"/>
              <w:bottom w:val="single" w:color="000000" w:sz="8" w:space="0"/>
              <w:right w:val="nil"/>
            </w:tcBorders>
            <w:noWrap w:val="0"/>
            <w:tcMar>
              <w:top w:w="8" w:type="dxa"/>
              <w:left w:w="8" w:type="dxa"/>
              <w:right w:w="8" w:type="dxa"/>
            </w:tcMar>
            <w:vAlign w:val="center"/>
          </w:tcPr>
          <w:p w14:paraId="305CDD2D">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巡查问题及整改建议</w:t>
            </w:r>
          </w:p>
        </w:tc>
        <w:tc>
          <w:tcPr>
            <w:tcW w:w="2938" w:type="dxa"/>
            <w:gridSpan w:val="4"/>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3818B01B">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整改跟踪、复核情况</w:t>
            </w:r>
          </w:p>
        </w:tc>
      </w:tr>
      <w:tr w14:paraId="11C80629">
        <w:tblPrEx>
          <w:tblCellMar>
            <w:top w:w="0" w:type="dxa"/>
            <w:left w:w="0" w:type="dxa"/>
            <w:bottom w:w="0" w:type="dxa"/>
            <w:right w:w="0" w:type="dxa"/>
          </w:tblCellMar>
        </w:tblPrEx>
        <w:trPr>
          <w:cantSplit/>
          <w:trHeight w:val="780" w:hRule="atLeast"/>
          <w:tblHeader/>
          <w:jc w:val="center"/>
        </w:trPr>
        <w:tc>
          <w:tcPr>
            <w:tcW w:w="415" w:type="dxa"/>
            <w:vMerge w:val="continue"/>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034DAD8F">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p>
        </w:tc>
        <w:tc>
          <w:tcPr>
            <w:tcW w:w="899" w:type="dxa"/>
            <w:vMerge w:val="continue"/>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4EC0F42B">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p>
        </w:tc>
        <w:tc>
          <w:tcPr>
            <w:tcW w:w="885" w:type="dxa"/>
            <w:vMerge w:val="continue"/>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1B6584FB">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p>
        </w:tc>
        <w:tc>
          <w:tcPr>
            <w:tcW w:w="1000" w:type="dxa"/>
            <w:vMerge w:val="continue"/>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3CC4D4A5">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p>
        </w:tc>
        <w:tc>
          <w:tcPr>
            <w:tcW w:w="509" w:type="dxa"/>
            <w:vMerge w:val="continue"/>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7083704E">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p>
        </w:tc>
        <w:tc>
          <w:tcPr>
            <w:tcW w:w="582" w:type="dxa"/>
            <w:vMerge w:val="continue"/>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60313EB2">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p>
        </w:tc>
        <w:tc>
          <w:tcPr>
            <w:tcW w:w="636" w:type="dxa"/>
            <w:vMerge w:val="continue"/>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668FD565">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p>
        </w:tc>
        <w:tc>
          <w:tcPr>
            <w:tcW w:w="618" w:type="dxa"/>
            <w:tcBorders>
              <w:top w:val="nil"/>
              <w:left w:val="nil"/>
              <w:bottom w:val="single" w:color="000000" w:sz="8" w:space="0"/>
              <w:right w:val="single" w:color="000000" w:sz="8" w:space="0"/>
            </w:tcBorders>
            <w:noWrap w:val="0"/>
            <w:tcMar>
              <w:top w:w="8" w:type="dxa"/>
              <w:left w:w="8" w:type="dxa"/>
              <w:right w:w="8" w:type="dxa"/>
            </w:tcMar>
            <w:vAlign w:val="center"/>
          </w:tcPr>
          <w:p w14:paraId="37E84286">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环信码</w:t>
            </w:r>
          </w:p>
        </w:tc>
        <w:tc>
          <w:tcPr>
            <w:tcW w:w="693" w:type="dxa"/>
            <w:tcBorders>
              <w:top w:val="nil"/>
              <w:left w:val="nil"/>
              <w:bottom w:val="single" w:color="000000" w:sz="8" w:space="0"/>
              <w:right w:val="single" w:color="000000" w:sz="8" w:space="0"/>
            </w:tcBorders>
            <w:noWrap w:val="0"/>
            <w:tcMar>
              <w:top w:w="8" w:type="dxa"/>
              <w:left w:w="8" w:type="dxa"/>
              <w:right w:w="8" w:type="dxa"/>
            </w:tcMar>
            <w:vAlign w:val="center"/>
          </w:tcPr>
          <w:p w14:paraId="746540D9">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规范性</w:t>
            </w:r>
          </w:p>
        </w:tc>
        <w:tc>
          <w:tcPr>
            <w:tcW w:w="1747"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1E5186E5">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8月问题详情</w:t>
            </w:r>
          </w:p>
        </w:tc>
        <w:tc>
          <w:tcPr>
            <w:tcW w:w="1053"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4982CC64">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问题</w:t>
            </w:r>
          </w:p>
          <w:p w14:paraId="58E6181C">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总数</w:t>
            </w:r>
          </w:p>
        </w:tc>
        <w:tc>
          <w:tcPr>
            <w:tcW w:w="3023" w:type="dxa"/>
            <w:tcBorders>
              <w:top w:val="single" w:color="000000" w:sz="8" w:space="0"/>
              <w:left w:val="nil"/>
              <w:bottom w:val="single" w:color="000000" w:sz="8" w:space="0"/>
              <w:right w:val="single" w:color="000000" w:sz="8" w:space="0"/>
            </w:tcBorders>
            <w:noWrap w:val="0"/>
            <w:tcMar>
              <w:top w:w="8" w:type="dxa"/>
              <w:left w:w="8" w:type="dxa"/>
              <w:right w:w="8" w:type="dxa"/>
            </w:tcMar>
            <w:vAlign w:val="center"/>
          </w:tcPr>
          <w:p w14:paraId="1BD7C06A">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整改建议</w:t>
            </w:r>
          </w:p>
        </w:tc>
        <w:tc>
          <w:tcPr>
            <w:tcW w:w="1184"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22523C2A">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已整改问题</w:t>
            </w:r>
          </w:p>
        </w:tc>
        <w:tc>
          <w:tcPr>
            <w:tcW w:w="540"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5A7E033B">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已整</w:t>
            </w:r>
          </w:p>
          <w:p w14:paraId="3791D829">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改数</w:t>
            </w:r>
          </w:p>
        </w:tc>
        <w:tc>
          <w:tcPr>
            <w:tcW w:w="555"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605AF670">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未整</w:t>
            </w:r>
          </w:p>
          <w:p w14:paraId="4971330A">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改数</w:t>
            </w:r>
          </w:p>
        </w:tc>
        <w:tc>
          <w:tcPr>
            <w:tcW w:w="659"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633D47D6">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分级</w:t>
            </w:r>
          </w:p>
          <w:p w14:paraId="079266E4">
            <w:pPr>
              <w:keepNext w:val="0"/>
              <w:keepLines w:val="0"/>
              <w:widowControl/>
              <w:suppressLineNumbers w:val="0"/>
              <w:jc w:val="center"/>
              <w:textAlignment w:val="center"/>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监管</w:t>
            </w:r>
          </w:p>
        </w:tc>
      </w:tr>
      <w:tr w14:paraId="207448C7">
        <w:tblPrEx>
          <w:tblCellMar>
            <w:top w:w="0" w:type="dxa"/>
            <w:left w:w="0" w:type="dxa"/>
            <w:bottom w:w="0" w:type="dxa"/>
            <w:right w:w="0" w:type="dxa"/>
          </w:tblCellMar>
        </w:tblPrEx>
        <w:trPr>
          <w:trHeight w:val="2048" w:hRule="atLeast"/>
          <w:jc w:val="center"/>
        </w:trPr>
        <w:tc>
          <w:tcPr>
            <w:tcW w:w="415" w:type="dxa"/>
            <w:tcBorders>
              <w:top w:val="single" w:color="000000" w:sz="8" w:space="0"/>
              <w:left w:val="single" w:color="000000" w:sz="8" w:space="0"/>
              <w:bottom w:val="single" w:color="000000" w:sz="8" w:space="0"/>
              <w:right w:val="single" w:color="000000" w:sz="8" w:space="0"/>
            </w:tcBorders>
            <w:shd w:val="clear" w:color="auto" w:fill="auto"/>
            <w:noWrap w:val="0"/>
            <w:tcMar>
              <w:top w:w="8" w:type="dxa"/>
              <w:left w:w="8" w:type="dxa"/>
              <w:right w:w="8" w:type="dxa"/>
            </w:tcMar>
            <w:vAlign w:val="center"/>
          </w:tcPr>
          <w:p w14:paraId="09FD52A9">
            <w:pPr>
              <w:keepNext w:val="0"/>
              <w:keepLines w:val="0"/>
              <w:widowControl/>
              <w:suppressLineNumbers w:val="0"/>
              <w:jc w:val="center"/>
              <w:textAlignment w:val="center"/>
              <w:rPr>
                <w:rFonts w:hint="default" w:ascii="仿宋" w:hAnsi="仿宋" w:eastAsia="仿宋" w:cs="仿宋"/>
                <w:i w:val="0"/>
                <w:iCs w:val="0"/>
                <w:color w:val="auto"/>
                <w:kern w:val="0"/>
                <w:sz w:val="18"/>
                <w:szCs w:val="18"/>
                <w:u w:val="none"/>
                <w:lang w:val="en-US" w:eastAsia="zh-CN" w:bidi="ar"/>
              </w:rPr>
            </w:pPr>
            <w:r>
              <w:rPr>
                <w:rFonts w:hint="eastAsia" w:ascii="仿宋" w:hAnsi="仿宋" w:cs="仿宋"/>
                <w:i w:val="0"/>
                <w:iCs w:val="0"/>
                <w:color w:val="auto"/>
                <w:kern w:val="0"/>
                <w:sz w:val="18"/>
                <w:szCs w:val="18"/>
                <w:u w:val="none"/>
                <w:lang w:val="en-US" w:eastAsia="zh-CN" w:bidi="ar"/>
              </w:rPr>
              <w:t>1</w:t>
            </w:r>
          </w:p>
        </w:tc>
        <w:tc>
          <w:tcPr>
            <w:tcW w:w="899"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4180F039">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京悦南门涮肉</w:t>
            </w:r>
          </w:p>
        </w:tc>
        <w:tc>
          <w:tcPr>
            <w:tcW w:w="885"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7635A7ED">
            <w:pPr>
              <w:keepNext w:val="0"/>
              <w:keepLines w:val="0"/>
              <w:widowControl/>
              <w:suppressLineNumbers w:val="0"/>
              <w:jc w:val="left"/>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上海品稻餐饮管理有限公司</w:t>
            </w:r>
          </w:p>
        </w:tc>
        <w:tc>
          <w:tcPr>
            <w:tcW w:w="1000"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6A4A7535">
            <w:pPr>
              <w:keepNext w:val="0"/>
              <w:keepLines w:val="0"/>
              <w:widowControl/>
              <w:suppressLineNumbers w:val="0"/>
              <w:jc w:val="left"/>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天钥桥路209号三楼</w:t>
            </w:r>
          </w:p>
        </w:tc>
        <w:tc>
          <w:tcPr>
            <w:tcW w:w="509"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116BA70F">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天钥桥路</w:t>
            </w:r>
          </w:p>
        </w:tc>
        <w:tc>
          <w:tcPr>
            <w:tcW w:w="582"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42272E87">
            <w:pPr>
              <w:keepNext w:val="0"/>
              <w:keepLines w:val="0"/>
              <w:widowControl/>
              <w:suppressLineNumbers w:val="0"/>
              <w:jc w:val="center"/>
              <w:textAlignment w:val="center"/>
              <w:rPr>
                <w:rFonts w:hint="default" w:ascii="仿宋" w:hAnsi="仿宋" w:eastAsia="仿宋" w:cs="仿宋"/>
                <w:i w:val="0"/>
                <w:iCs w:val="0"/>
                <w:color w:val="auto"/>
                <w:kern w:val="0"/>
                <w:sz w:val="18"/>
                <w:szCs w:val="18"/>
                <w:u w:val="none"/>
                <w:lang w:val="en-US" w:eastAsia="zh-CN" w:bidi="ar"/>
              </w:rPr>
            </w:pPr>
            <w:r>
              <w:rPr>
                <w:rFonts w:hint="eastAsia" w:ascii="仿宋" w:hAnsi="仿宋" w:cs="仿宋"/>
                <w:i w:val="0"/>
                <w:iCs w:val="0"/>
                <w:color w:val="auto"/>
                <w:kern w:val="0"/>
                <w:sz w:val="18"/>
                <w:szCs w:val="18"/>
                <w:u w:val="none"/>
                <w:lang w:val="en-US" w:eastAsia="zh-CN" w:bidi="ar"/>
              </w:rPr>
              <w:t>正常经营</w:t>
            </w:r>
          </w:p>
        </w:tc>
        <w:tc>
          <w:tcPr>
            <w:tcW w:w="636"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1ED3FD97">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重油烟</w:t>
            </w:r>
          </w:p>
        </w:tc>
        <w:tc>
          <w:tcPr>
            <w:tcW w:w="618" w:type="dxa"/>
            <w:tcBorders>
              <w:top w:val="single" w:color="000000" w:sz="8" w:space="0"/>
              <w:left w:val="nil"/>
              <w:bottom w:val="single" w:color="000000" w:sz="8" w:space="0"/>
              <w:right w:val="single" w:color="000000" w:sz="8" w:space="0"/>
            </w:tcBorders>
            <w:shd w:val="clear" w:color="auto" w:fill="FFFFFF"/>
            <w:noWrap w:val="0"/>
            <w:tcMar>
              <w:top w:w="8" w:type="dxa"/>
              <w:left w:w="8" w:type="dxa"/>
              <w:right w:w="8" w:type="dxa"/>
            </w:tcMar>
            <w:vAlign w:val="center"/>
          </w:tcPr>
          <w:p w14:paraId="221CDD9A">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红码</w:t>
            </w:r>
          </w:p>
        </w:tc>
        <w:tc>
          <w:tcPr>
            <w:tcW w:w="693" w:type="dxa"/>
            <w:tcBorders>
              <w:top w:val="single" w:color="000000" w:sz="8" w:space="0"/>
              <w:left w:val="nil"/>
              <w:bottom w:val="single" w:color="000000" w:sz="8" w:space="0"/>
              <w:right w:val="single" w:color="000000" w:sz="8" w:space="0"/>
            </w:tcBorders>
            <w:shd w:val="clear" w:color="auto" w:fill="FFFFFF"/>
            <w:noWrap w:val="0"/>
            <w:tcMar>
              <w:top w:w="8" w:type="dxa"/>
              <w:left w:w="8" w:type="dxa"/>
              <w:right w:w="8" w:type="dxa"/>
            </w:tcMar>
            <w:vAlign w:val="center"/>
          </w:tcPr>
          <w:p w14:paraId="17FD6024">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严重不规范</w:t>
            </w:r>
          </w:p>
        </w:tc>
        <w:tc>
          <w:tcPr>
            <w:tcW w:w="1747" w:type="dxa"/>
            <w:tcBorders>
              <w:top w:val="single" w:color="000000" w:sz="8" w:space="0"/>
              <w:left w:val="nil"/>
              <w:bottom w:val="single" w:color="000000" w:sz="8" w:space="0"/>
              <w:right w:val="single" w:color="000000" w:sz="8" w:space="0"/>
            </w:tcBorders>
            <w:noWrap w:val="0"/>
            <w:tcMar>
              <w:top w:w="8" w:type="dxa"/>
              <w:left w:w="8" w:type="dxa"/>
              <w:right w:w="8" w:type="dxa"/>
            </w:tcMar>
            <w:vAlign w:val="center"/>
          </w:tcPr>
          <w:p w14:paraId="6E7D6929">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1、集气罩挂油、淋油</w:t>
            </w:r>
          </w:p>
          <w:p w14:paraId="77B6C87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2、排口浓烟、清洗效果不佳；</w:t>
            </w:r>
          </w:p>
          <w:p w14:paraId="0A733E9D">
            <w:pPr>
              <w:keepNext w:val="0"/>
              <w:keepLines w:val="0"/>
              <w:widowControl/>
              <w:suppressLineNumbers w:val="0"/>
              <w:jc w:val="left"/>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3、未见油烟清洗记录；</w:t>
            </w:r>
          </w:p>
        </w:tc>
        <w:tc>
          <w:tcPr>
            <w:tcW w:w="1053"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686E0B3F">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3023" w:type="dxa"/>
            <w:tcBorders>
              <w:top w:val="single" w:color="000000" w:sz="8" w:space="0"/>
              <w:left w:val="nil"/>
              <w:bottom w:val="single" w:color="000000" w:sz="8" w:space="0"/>
              <w:right w:val="single" w:color="000000" w:sz="8" w:space="0"/>
            </w:tcBorders>
            <w:noWrap w:val="0"/>
            <w:tcMar>
              <w:top w:w="8" w:type="dxa"/>
              <w:left w:w="8" w:type="dxa"/>
              <w:right w:w="8" w:type="dxa"/>
            </w:tcMar>
            <w:vAlign w:val="center"/>
          </w:tcPr>
          <w:p w14:paraId="0BAA54C5">
            <w:pPr>
              <w:keepNext w:val="0"/>
              <w:keepLines w:val="0"/>
              <w:widowControl/>
              <w:suppressLineNumbers w:val="0"/>
              <w:jc w:val="left"/>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1、建议与符合《清洁行业经营服务规范》的油烟净化装置清洗保洁单位签约，及时开展油烟净化装置全覆盖清理或应急清洗，适当增加清洗频次；并更新清洗记录。</w:t>
            </w:r>
          </w:p>
        </w:tc>
        <w:tc>
          <w:tcPr>
            <w:tcW w:w="1184" w:type="dxa"/>
            <w:tcBorders>
              <w:top w:val="single" w:color="000000" w:sz="8" w:space="0"/>
              <w:left w:val="nil"/>
              <w:bottom w:val="single" w:color="000000" w:sz="8" w:space="0"/>
              <w:right w:val="single" w:color="000000" w:sz="8" w:space="0"/>
            </w:tcBorders>
            <w:noWrap w:val="0"/>
            <w:tcMar>
              <w:top w:w="8" w:type="dxa"/>
              <w:left w:w="8" w:type="dxa"/>
              <w:right w:w="8" w:type="dxa"/>
            </w:tcMar>
            <w:vAlign w:val="center"/>
          </w:tcPr>
          <w:p w14:paraId="08164F64">
            <w:pPr>
              <w:keepNext w:val="0"/>
              <w:keepLines w:val="0"/>
              <w:widowControl/>
              <w:suppressLineNumbers w:val="0"/>
              <w:jc w:val="left"/>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3、未见油烟清洗记录；</w:t>
            </w:r>
          </w:p>
        </w:tc>
        <w:tc>
          <w:tcPr>
            <w:tcW w:w="540"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77C017C2">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55"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5C24D2E9">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659"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695C551D">
            <w:pPr>
              <w:keepNext w:val="0"/>
              <w:keepLines w:val="0"/>
              <w:widowControl/>
              <w:suppressLineNumbers w:val="0"/>
              <w:jc w:val="center"/>
              <w:textAlignment w:val="center"/>
              <w:rPr>
                <w:rFonts w:hint="eastAsia" w:ascii="仿宋" w:hAnsi="仿宋" w:eastAsia="仿宋" w:cs="仿宋"/>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重点监管</w:t>
            </w:r>
          </w:p>
        </w:tc>
      </w:tr>
      <w:tr w14:paraId="50926943">
        <w:tblPrEx>
          <w:tblCellMar>
            <w:top w:w="0" w:type="dxa"/>
            <w:left w:w="0" w:type="dxa"/>
            <w:bottom w:w="0" w:type="dxa"/>
            <w:right w:w="0" w:type="dxa"/>
          </w:tblCellMar>
        </w:tblPrEx>
        <w:trPr>
          <w:trHeight w:val="2048" w:hRule="atLeast"/>
          <w:jc w:val="center"/>
        </w:trPr>
        <w:tc>
          <w:tcPr>
            <w:tcW w:w="415" w:type="dxa"/>
            <w:tcBorders>
              <w:top w:val="single" w:color="000000" w:sz="8" w:space="0"/>
              <w:left w:val="single" w:color="000000" w:sz="8" w:space="0"/>
              <w:bottom w:val="single" w:color="000000" w:sz="8" w:space="0"/>
              <w:right w:val="single" w:color="000000" w:sz="8" w:space="0"/>
            </w:tcBorders>
            <w:shd w:val="clear" w:color="auto" w:fill="auto"/>
            <w:noWrap w:val="0"/>
            <w:tcMar>
              <w:top w:w="8" w:type="dxa"/>
              <w:left w:w="8" w:type="dxa"/>
              <w:right w:w="8" w:type="dxa"/>
            </w:tcMar>
            <w:vAlign w:val="center"/>
          </w:tcPr>
          <w:p w14:paraId="057DF13A">
            <w:pPr>
              <w:keepNext w:val="0"/>
              <w:keepLines w:val="0"/>
              <w:widowControl/>
              <w:suppressLineNumbers w:val="0"/>
              <w:jc w:val="center"/>
              <w:textAlignment w:val="center"/>
              <w:rPr>
                <w:rFonts w:hint="default" w:ascii="仿宋" w:hAnsi="仿宋" w:cs="仿宋"/>
                <w:i w:val="0"/>
                <w:iCs w:val="0"/>
                <w:color w:val="auto"/>
                <w:kern w:val="0"/>
                <w:sz w:val="18"/>
                <w:szCs w:val="18"/>
                <w:u w:val="none"/>
                <w:lang w:val="en-US" w:eastAsia="zh-CN" w:bidi="ar"/>
              </w:rPr>
            </w:pPr>
            <w:r>
              <w:rPr>
                <w:rFonts w:hint="eastAsia" w:ascii="仿宋" w:hAnsi="仿宋" w:cs="仿宋"/>
                <w:i w:val="0"/>
                <w:iCs w:val="0"/>
                <w:color w:val="auto"/>
                <w:kern w:val="0"/>
                <w:sz w:val="18"/>
                <w:szCs w:val="18"/>
                <w:u w:val="none"/>
                <w:lang w:val="en-US" w:eastAsia="zh-CN" w:bidi="ar"/>
              </w:rPr>
              <w:t>2</w:t>
            </w:r>
          </w:p>
        </w:tc>
        <w:tc>
          <w:tcPr>
            <w:tcW w:w="899"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0B35664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醉东庐</w:t>
            </w:r>
          </w:p>
        </w:tc>
        <w:tc>
          <w:tcPr>
            <w:tcW w:w="885"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1B076571">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上海品稻餐饮管理有限公司</w:t>
            </w:r>
          </w:p>
        </w:tc>
        <w:tc>
          <w:tcPr>
            <w:tcW w:w="1000"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7DDD3E3E">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天钥桥路209号二楼</w:t>
            </w:r>
          </w:p>
        </w:tc>
        <w:tc>
          <w:tcPr>
            <w:tcW w:w="509"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51C55240">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天钥桥路</w:t>
            </w:r>
          </w:p>
        </w:tc>
        <w:tc>
          <w:tcPr>
            <w:tcW w:w="582"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4E60CE92">
            <w:pPr>
              <w:keepNext w:val="0"/>
              <w:keepLines w:val="0"/>
              <w:widowControl/>
              <w:suppressLineNumbers w:val="0"/>
              <w:jc w:val="center"/>
              <w:textAlignment w:val="center"/>
              <w:rPr>
                <w:rFonts w:hint="eastAsia" w:ascii="仿宋" w:hAnsi="仿宋" w:cs="仿宋"/>
                <w:i w:val="0"/>
                <w:iCs w:val="0"/>
                <w:color w:val="auto"/>
                <w:kern w:val="0"/>
                <w:sz w:val="18"/>
                <w:szCs w:val="18"/>
                <w:u w:val="none"/>
                <w:lang w:val="en-US" w:eastAsia="zh-CN" w:bidi="ar"/>
              </w:rPr>
            </w:pPr>
            <w:r>
              <w:rPr>
                <w:rFonts w:hint="eastAsia" w:ascii="仿宋" w:hAnsi="仿宋" w:cs="仿宋"/>
                <w:i w:val="0"/>
                <w:iCs w:val="0"/>
                <w:color w:val="auto"/>
                <w:kern w:val="0"/>
                <w:sz w:val="18"/>
                <w:szCs w:val="18"/>
                <w:u w:val="none"/>
                <w:lang w:val="en-US" w:eastAsia="zh-CN" w:bidi="ar"/>
              </w:rPr>
              <w:t>正常经营</w:t>
            </w:r>
          </w:p>
        </w:tc>
        <w:tc>
          <w:tcPr>
            <w:tcW w:w="636" w:type="dxa"/>
            <w:tcBorders>
              <w:top w:val="single" w:color="000000" w:sz="8" w:space="0"/>
              <w:left w:val="nil"/>
              <w:bottom w:val="single" w:color="000000" w:sz="8" w:space="0"/>
              <w:right w:val="single" w:color="000000" w:sz="8" w:space="0"/>
            </w:tcBorders>
            <w:shd w:val="clear" w:color="auto" w:fill="auto"/>
            <w:noWrap w:val="0"/>
            <w:tcMar>
              <w:top w:w="8" w:type="dxa"/>
              <w:left w:w="8" w:type="dxa"/>
              <w:right w:w="8" w:type="dxa"/>
            </w:tcMar>
            <w:vAlign w:val="center"/>
          </w:tcPr>
          <w:p w14:paraId="22C5A83B">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重油烟</w:t>
            </w:r>
          </w:p>
        </w:tc>
        <w:tc>
          <w:tcPr>
            <w:tcW w:w="618" w:type="dxa"/>
            <w:tcBorders>
              <w:top w:val="single" w:color="000000" w:sz="8" w:space="0"/>
              <w:left w:val="nil"/>
              <w:bottom w:val="single" w:color="000000" w:sz="8" w:space="0"/>
              <w:right w:val="single" w:color="000000" w:sz="8" w:space="0"/>
            </w:tcBorders>
            <w:shd w:val="clear" w:color="auto" w:fill="FFFFFF"/>
            <w:noWrap w:val="0"/>
            <w:tcMar>
              <w:top w:w="8" w:type="dxa"/>
              <w:left w:w="8" w:type="dxa"/>
              <w:right w:w="8" w:type="dxa"/>
            </w:tcMar>
            <w:vAlign w:val="center"/>
          </w:tcPr>
          <w:p w14:paraId="2DB081BC">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红码</w:t>
            </w:r>
          </w:p>
        </w:tc>
        <w:tc>
          <w:tcPr>
            <w:tcW w:w="693" w:type="dxa"/>
            <w:tcBorders>
              <w:top w:val="single" w:color="000000" w:sz="8" w:space="0"/>
              <w:left w:val="nil"/>
              <w:bottom w:val="single" w:color="000000" w:sz="8" w:space="0"/>
              <w:right w:val="single" w:color="000000" w:sz="8" w:space="0"/>
            </w:tcBorders>
            <w:shd w:val="clear" w:color="auto" w:fill="FFFFFF"/>
            <w:noWrap w:val="0"/>
            <w:tcMar>
              <w:top w:w="8" w:type="dxa"/>
              <w:left w:w="8" w:type="dxa"/>
              <w:right w:w="8" w:type="dxa"/>
            </w:tcMar>
            <w:vAlign w:val="center"/>
          </w:tcPr>
          <w:p w14:paraId="1C7B0F8D">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严重不规范</w:t>
            </w:r>
          </w:p>
        </w:tc>
        <w:tc>
          <w:tcPr>
            <w:tcW w:w="1747" w:type="dxa"/>
            <w:tcBorders>
              <w:top w:val="single" w:color="000000" w:sz="8" w:space="0"/>
              <w:left w:val="nil"/>
              <w:bottom w:val="single" w:color="000000" w:sz="8" w:space="0"/>
              <w:right w:val="single" w:color="000000" w:sz="8" w:space="0"/>
            </w:tcBorders>
            <w:noWrap w:val="0"/>
            <w:tcMar>
              <w:top w:w="8" w:type="dxa"/>
              <w:left w:w="8" w:type="dxa"/>
              <w:right w:w="8" w:type="dxa"/>
            </w:tcMar>
            <w:vAlign w:val="center"/>
          </w:tcPr>
          <w:p w14:paraId="7CDE5B9E">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1、集气罩挂油、淋油</w:t>
            </w:r>
          </w:p>
          <w:p w14:paraId="76DBAC07">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2、集气罩格栅缺失；</w:t>
            </w:r>
          </w:p>
          <w:p w14:paraId="0512BCD6">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3、未见油烟清洗记录；</w:t>
            </w:r>
          </w:p>
        </w:tc>
        <w:tc>
          <w:tcPr>
            <w:tcW w:w="1053"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51747BD1">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3023" w:type="dxa"/>
            <w:tcBorders>
              <w:top w:val="single" w:color="000000" w:sz="8" w:space="0"/>
              <w:left w:val="nil"/>
              <w:bottom w:val="single" w:color="000000" w:sz="8" w:space="0"/>
              <w:right w:val="single" w:color="000000" w:sz="8" w:space="0"/>
            </w:tcBorders>
            <w:noWrap w:val="0"/>
            <w:tcMar>
              <w:top w:w="8" w:type="dxa"/>
              <w:left w:w="8" w:type="dxa"/>
              <w:right w:w="8" w:type="dxa"/>
            </w:tcMar>
            <w:vAlign w:val="center"/>
          </w:tcPr>
          <w:p w14:paraId="5B0C82ED">
            <w:pPr>
              <w:keepNext w:val="0"/>
              <w:keepLines w:val="0"/>
              <w:widowControl/>
              <w:suppressLineNumbers w:val="0"/>
              <w:jc w:val="left"/>
              <w:textAlignment w:val="center"/>
              <w:rPr>
                <w:rFonts w:hint="default"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1、建议与符合《清洁行业经营服务规范》的油烟净化装置清洗保洁单位签约，及时开展油烟净化装置全覆盖清理或应急清洗，适当增加清洗频次；并更新清洗记录。</w:t>
            </w:r>
          </w:p>
        </w:tc>
        <w:tc>
          <w:tcPr>
            <w:tcW w:w="1184" w:type="dxa"/>
            <w:tcBorders>
              <w:top w:val="single" w:color="000000" w:sz="8" w:space="0"/>
              <w:left w:val="nil"/>
              <w:bottom w:val="single" w:color="000000" w:sz="8" w:space="0"/>
              <w:right w:val="single" w:color="000000" w:sz="8" w:space="0"/>
            </w:tcBorders>
            <w:noWrap w:val="0"/>
            <w:tcMar>
              <w:top w:w="8" w:type="dxa"/>
              <w:left w:w="8" w:type="dxa"/>
              <w:right w:w="8" w:type="dxa"/>
            </w:tcMar>
            <w:vAlign w:val="center"/>
          </w:tcPr>
          <w:p w14:paraId="6E4715B4">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3、未见油烟清洗记录；</w:t>
            </w:r>
          </w:p>
        </w:tc>
        <w:tc>
          <w:tcPr>
            <w:tcW w:w="540"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40C1427E">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555"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2CD0517F">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659" w:type="dxa"/>
            <w:tcBorders>
              <w:top w:val="single" w:color="000000" w:sz="8" w:space="0"/>
              <w:left w:val="single" w:color="000000" w:sz="8" w:space="0"/>
              <w:bottom w:val="single" w:color="000000" w:sz="8" w:space="0"/>
              <w:right w:val="single" w:color="000000" w:sz="8" w:space="0"/>
            </w:tcBorders>
            <w:noWrap w:val="0"/>
            <w:tcMar>
              <w:top w:w="8" w:type="dxa"/>
              <w:left w:w="8" w:type="dxa"/>
              <w:right w:w="8" w:type="dxa"/>
            </w:tcMar>
            <w:vAlign w:val="center"/>
          </w:tcPr>
          <w:p w14:paraId="5A2579C7">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重点监管</w:t>
            </w:r>
          </w:p>
        </w:tc>
      </w:tr>
    </w:tbl>
    <w:p w14:paraId="074EFBD8">
      <w:pPr>
        <w:rPr>
          <w:color w:val="auto"/>
        </w:rPr>
      </w:pPr>
    </w:p>
    <w:sectPr>
      <w:pgSz w:w="16838" w:h="11906" w:orient="landscape"/>
      <w:pgMar w:top="1803" w:right="1440" w:bottom="1803" w:left="1440" w:header="851" w:footer="992" w:gutter="0"/>
      <w:pgNumType w:fmt="decimal"/>
      <w:cols w:space="720" w:num="1"/>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B7EF8">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D64DD9">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16D64DD9">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218"/>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mOTM0YTU5MzQ5YTk1ZmJlM2FiZWZiNzU2ZTFlZDcifQ=="/>
  </w:docVars>
  <w:rsids>
    <w:rsidRoot w:val="00DA677A"/>
    <w:rsid w:val="0003113E"/>
    <w:rsid w:val="000667BA"/>
    <w:rsid w:val="000C5380"/>
    <w:rsid w:val="000C7A46"/>
    <w:rsid w:val="00106189"/>
    <w:rsid w:val="001F097B"/>
    <w:rsid w:val="002701CB"/>
    <w:rsid w:val="00282E69"/>
    <w:rsid w:val="002A7FBA"/>
    <w:rsid w:val="003426D3"/>
    <w:rsid w:val="00354DD2"/>
    <w:rsid w:val="00374F1A"/>
    <w:rsid w:val="003A4287"/>
    <w:rsid w:val="00431208"/>
    <w:rsid w:val="00451694"/>
    <w:rsid w:val="004835DE"/>
    <w:rsid w:val="00497EEA"/>
    <w:rsid w:val="004D6CEA"/>
    <w:rsid w:val="004E4B3D"/>
    <w:rsid w:val="00536634"/>
    <w:rsid w:val="00555478"/>
    <w:rsid w:val="00561D3F"/>
    <w:rsid w:val="005709C6"/>
    <w:rsid w:val="005736D9"/>
    <w:rsid w:val="005A7806"/>
    <w:rsid w:val="005C1718"/>
    <w:rsid w:val="005F178C"/>
    <w:rsid w:val="005F181E"/>
    <w:rsid w:val="00610184"/>
    <w:rsid w:val="00670D83"/>
    <w:rsid w:val="006B7D9B"/>
    <w:rsid w:val="006C63DA"/>
    <w:rsid w:val="006E0393"/>
    <w:rsid w:val="0073182F"/>
    <w:rsid w:val="0073793A"/>
    <w:rsid w:val="00785AB4"/>
    <w:rsid w:val="007C7829"/>
    <w:rsid w:val="007E272D"/>
    <w:rsid w:val="00810EDB"/>
    <w:rsid w:val="00814795"/>
    <w:rsid w:val="0084461D"/>
    <w:rsid w:val="008F48C3"/>
    <w:rsid w:val="00914A48"/>
    <w:rsid w:val="00915400"/>
    <w:rsid w:val="00917482"/>
    <w:rsid w:val="00920C1A"/>
    <w:rsid w:val="00945062"/>
    <w:rsid w:val="009E01D7"/>
    <w:rsid w:val="00A105F8"/>
    <w:rsid w:val="00A21458"/>
    <w:rsid w:val="00A629E5"/>
    <w:rsid w:val="00A658C8"/>
    <w:rsid w:val="00A74814"/>
    <w:rsid w:val="00A8786B"/>
    <w:rsid w:val="00B36420"/>
    <w:rsid w:val="00B64973"/>
    <w:rsid w:val="00B66D9E"/>
    <w:rsid w:val="00B74C04"/>
    <w:rsid w:val="00BA1F18"/>
    <w:rsid w:val="00BE0ACA"/>
    <w:rsid w:val="00BE32AE"/>
    <w:rsid w:val="00C17376"/>
    <w:rsid w:val="00C36678"/>
    <w:rsid w:val="00CB269F"/>
    <w:rsid w:val="00D1615F"/>
    <w:rsid w:val="00D7212F"/>
    <w:rsid w:val="00DA677A"/>
    <w:rsid w:val="00DD6F8C"/>
    <w:rsid w:val="00E4557E"/>
    <w:rsid w:val="00EC2264"/>
    <w:rsid w:val="00F41A14"/>
    <w:rsid w:val="00FE138C"/>
    <w:rsid w:val="01067742"/>
    <w:rsid w:val="014F25E7"/>
    <w:rsid w:val="016844FB"/>
    <w:rsid w:val="017C3487"/>
    <w:rsid w:val="019701F5"/>
    <w:rsid w:val="01C458AA"/>
    <w:rsid w:val="01F817A7"/>
    <w:rsid w:val="01F8301A"/>
    <w:rsid w:val="01FE5971"/>
    <w:rsid w:val="02143D5D"/>
    <w:rsid w:val="02296E92"/>
    <w:rsid w:val="023056A8"/>
    <w:rsid w:val="027115BB"/>
    <w:rsid w:val="02832ED5"/>
    <w:rsid w:val="028D71E9"/>
    <w:rsid w:val="028F265A"/>
    <w:rsid w:val="02DA63DE"/>
    <w:rsid w:val="02F86C7C"/>
    <w:rsid w:val="030D0562"/>
    <w:rsid w:val="03136FB2"/>
    <w:rsid w:val="03455F4E"/>
    <w:rsid w:val="035A3712"/>
    <w:rsid w:val="038113BA"/>
    <w:rsid w:val="03830017"/>
    <w:rsid w:val="039A2448"/>
    <w:rsid w:val="03BA4C77"/>
    <w:rsid w:val="03D87E05"/>
    <w:rsid w:val="04367045"/>
    <w:rsid w:val="0442594B"/>
    <w:rsid w:val="044B0E0E"/>
    <w:rsid w:val="046308BE"/>
    <w:rsid w:val="04794CF4"/>
    <w:rsid w:val="047C20F6"/>
    <w:rsid w:val="04AC7907"/>
    <w:rsid w:val="04BA5E6D"/>
    <w:rsid w:val="04F2282A"/>
    <w:rsid w:val="04FA50B4"/>
    <w:rsid w:val="04FD0162"/>
    <w:rsid w:val="051E4BB7"/>
    <w:rsid w:val="052F1C66"/>
    <w:rsid w:val="05303F87"/>
    <w:rsid w:val="055B6976"/>
    <w:rsid w:val="057F30ED"/>
    <w:rsid w:val="0590484A"/>
    <w:rsid w:val="05BA5F8C"/>
    <w:rsid w:val="05C336C0"/>
    <w:rsid w:val="05E423E6"/>
    <w:rsid w:val="05FE62E3"/>
    <w:rsid w:val="062017C4"/>
    <w:rsid w:val="062F6614"/>
    <w:rsid w:val="06326604"/>
    <w:rsid w:val="065F1650"/>
    <w:rsid w:val="06631F18"/>
    <w:rsid w:val="06661CAE"/>
    <w:rsid w:val="069B7F9F"/>
    <w:rsid w:val="06B436C8"/>
    <w:rsid w:val="06BD693B"/>
    <w:rsid w:val="06C41208"/>
    <w:rsid w:val="06E83E63"/>
    <w:rsid w:val="07021096"/>
    <w:rsid w:val="07322345"/>
    <w:rsid w:val="076E02A7"/>
    <w:rsid w:val="0788465B"/>
    <w:rsid w:val="079533C5"/>
    <w:rsid w:val="07AB4831"/>
    <w:rsid w:val="07D85846"/>
    <w:rsid w:val="07FF17A5"/>
    <w:rsid w:val="08073613"/>
    <w:rsid w:val="080F08D8"/>
    <w:rsid w:val="083E4D1A"/>
    <w:rsid w:val="0887308F"/>
    <w:rsid w:val="08A45E34"/>
    <w:rsid w:val="08BE0C1E"/>
    <w:rsid w:val="08E141D6"/>
    <w:rsid w:val="08ED2FCF"/>
    <w:rsid w:val="09273189"/>
    <w:rsid w:val="09296171"/>
    <w:rsid w:val="09390F3E"/>
    <w:rsid w:val="093B51A0"/>
    <w:rsid w:val="09450C81"/>
    <w:rsid w:val="09682796"/>
    <w:rsid w:val="09687B11"/>
    <w:rsid w:val="09931357"/>
    <w:rsid w:val="099D2B86"/>
    <w:rsid w:val="09CA0F5B"/>
    <w:rsid w:val="0A07222C"/>
    <w:rsid w:val="0A151C6C"/>
    <w:rsid w:val="0A392CFE"/>
    <w:rsid w:val="0A4D68DA"/>
    <w:rsid w:val="0A561942"/>
    <w:rsid w:val="0A835A8D"/>
    <w:rsid w:val="0A8E76D6"/>
    <w:rsid w:val="0A952992"/>
    <w:rsid w:val="0A964272"/>
    <w:rsid w:val="0AA20C2B"/>
    <w:rsid w:val="0ABB4B7A"/>
    <w:rsid w:val="0ADE7AB5"/>
    <w:rsid w:val="0AE42992"/>
    <w:rsid w:val="0AEE2C45"/>
    <w:rsid w:val="0B200D43"/>
    <w:rsid w:val="0B6E6CAC"/>
    <w:rsid w:val="0B7F12B2"/>
    <w:rsid w:val="0B8174A3"/>
    <w:rsid w:val="0BB4713C"/>
    <w:rsid w:val="0BB96FF1"/>
    <w:rsid w:val="0BBD2ACE"/>
    <w:rsid w:val="0BCC21AF"/>
    <w:rsid w:val="0BD019DF"/>
    <w:rsid w:val="0BD9779E"/>
    <w:rsid w:val="0BF5102F"/>
    <w:rsid w:val="0BF57686"/>
    <w:rsid w:val="0BF968DB"/>
    <w:rsid w:val="0C146AF8"/>
    <w:rsid w:val="0C280728"/>
    <w:rsid w:val="0C38162D"/>
    <w:rsid w:val="0C4D6610"/>
    <w:rsid w:val="0C637913"/>
    <w:rsid w:val="0C6B23C2"/>
    <w:rsid w:val="0C6E3728"/>
    <w:rsid w:val="0C7B7E43"/>
    <w:rsid w:val="0C9E19E6"/>
    <w:rsid w:val="0CA3002E"/>
    <w:rsid w:val="0CEE6D0E"/>
    <w:rsid w:val="0CF07D4D"/>
    <w:rsid w:val="0CFB70FF"/>
    <w:rsid w:val="0D281B8E"/>
    <w:rsid w:val="0D455508"/>
    <w:rsid w:val="0D657D6D"/>
    <w:rsid w:val="0D8302FB"/>
    <w:rsid w:val="0D855C66"/>
    <w:rsid w:val="0D8D7806"/>
    <w:rsid w:val="0DD405FA"/>
    <w:rsid w:val="0DE56315"/>
    <w:rsid w:val="0E07076A"/>
    <w:rsid w:val="0E0C384B"/>
    <w:rsid w:val="0E16554B"/>
    <w:rsid w:val="0E174C6D"/>
    <w:rsid w:val="0E1E2D44"/>
    <w:rsid w:val="0E296D13"/>
    <w:rsid w:val="0E4B6044"/>
    <w:rsid w:val="0E51680E"/>
    <w:rsid w:val="0E5F2A1B"/>
    <w:rsid w:val="0E5F4B0E"/>
    <w:rsid w:val="0E801C3E"/>
    <w:rsid w:val="0EDA772B"/>
    <w:rsid w:val="0EEE093D"/>
    <w:rsid w:val="0EFE17FD"/>
    <w:rsid w:val="0F055E6C"/>
    <w:rsid w:val="0F227143"/>
    <w:rsid w:val="0F3A4B34"/>
    <w:rsid w:val="0F4470B9"/>
    <w:rsid w:val="0F4C7BF2"/>
    <w:rsid w:val="0F6B1FFF"/>
    <w:rsid w:val="0F943EF3"/>
    <w:rsid w:val="0FB029A1"/>
    <w:rsid w:val="100F6831"/>
    <w:rsid w:val="10374803"/>
    <w:rsid w:val="106464F1"/>
    <w:rsid w:val="10A374E1"/>
    <w:rsid w:val="10AF72D4"/>
    <w:rsid w:val="10CE2F84"/>
    <w:rsid w:val="10F43508"/>
    <w:rsid w:val="1107040D"/>
    <w:rsid w:val="111D0584"/>
    <w:rsid w:val="111F0DF5"/>
    <w:rsid w:val="11522D8A"/>
    <w:rsid w:val="117B013B"/>
    <w:rsid w:val="1185547F"/>
    <w:rsid w:val="118A5285"/>
    <w:rsid w:val="1193670A"/>
    <w:rsid w:val="11A30116"/>
    <w:rsid w:val="11A81A85"/>
    <w:rsid w:val="11CE710E"/>
    <w:rsid w:val="11DC7E19"/>
    <w:rsid w:val="11E2463D"/>
    <w:rsid w:val="11E47FFB"/>
    <w:rsid w:val="12146CB4"/>
    <w:rsid w:val="123E605D"/>
    <w:rsid w:val="124C4B58"/>
    <w:rsid w:val="127F384F"/>
    <w:rsid w:val="12A95EF1"/>
    <w:rsid w:val="12AC16DB"/>
    <w:rsid w:val="12CA014E"/>
    <w:rsid w:val="12D06C17"/>
    <w:rsid w:val="12EF586B"/>
    <w:rsid w:val="130809D5"/>
    <w:rsid w:val="1324605E"/>
    <w:rsid w:val="13284F42"/>
    <w:rsid w:val="132E6680"/>
    <w:rsid w:val="1355456F"/>
    <w:rsid w:val="13790CFC"/>
    <w:rsid w:val="13CE4FF1"/>
    <w:rsid w:val="13D16F1F"/>
    <w:rsid w:val="1400767F"/>
    <w:rsid w:val="140212F1"/>
    <w:rsid w:val="1407606C"/>
    <w:rsid w:val="14097B6A"/>
    <w:rsid w:val="14124BBD"/>
    <w:rsid w:val="14132F9A"/>
    <w:rsid w:val="141B4268"/>
    <w:rsid w:val="141D5FAD"/>
    <w:rsid w:val="14355E00"/>
    <w:rsid w:val="1447203C"/>
    <w:rsid w:val="1447667B"/>
    <w:rsid w:val="14563D81"/>
    <w:rsid w:val="145B457A"/>
    <w:rsid w:val="146F55D6"/>
    <w:rsid w:val="14712517"/>
    <w:rsid w:val="14C02168"/>
    <w:rsid w:val="14ED01F2"/>
    <w:rsid w:val="150E490F"/>
    <w:rsid w:val="151425F6"/>
    <w:rsid w:val="151B712E"/>
    <w:rsid w:val="156D6818"/>
    <w:rsid w:val="1580401C"/>
    <w:rsid w:val="1580667B"/>
    <w:rsid w:val="15841088"/>
    <w:rsid w:val="159E07F6"/>
    <w:rsid w:val="15BA672C"/>
    <w:rsid w:val="15C26F8A"/>
    <w:rsid w:val="15D33CEA"/>
    <w:rsid w:val="15DB27DF"/>
    <w:rsid w:val="15E1677A"/>
    <w:rsid w:val="15E34099"/>
    <w:rsid w:val="15FD3029"/>
    <w:rsid w:val="16000A7E"/>
    <w:rsid w:val="16264111"/>
    <w:rsid w:val="162B4B2F"/>
    <w:rsid w:val="163834F1"/>
    <w:rsid w:val="16490EAC"/>
    <w:rsid w:val="1658360C"/>
    <w:rsid w:val="1674297A"/>
    <w:rsid w:val="167B5F31"/>
    <w:rsid w:val="16874A13"/>
    <w:rsid w:val="168C2E25"/>
    <w:rsid w:val="168F3949"/>
    <w:rsid w:val="16916241"/>
    <w:rsid w:val="16B04160"/>
    <w:rsid w:val="16E64B56"/>
    <w:rsid w:val="16EC2EA0"/>
    <w:rsid w:val="16FE0496"/>
    <w:rsid w:val="17163C09"/>
    <w:rsid w:val="176927D3"/>
    <w:rsid w:val="17A6014B"/>
    <w:rsid w:val="17A922C7"/>
    <w:rsid w:val="17BB1EE3"/>
    <w:rsid w:val="17C16CC2"/>
    <w:rsid w:val="17C44569"/>
    <w:rsid w:val="17C60259"/>
    <w:rsid w:val="17E21B65"/>
    <w:rsid w:val="17E2699B"/>
    <w:rsid w:val="17F811A5"/>
    <w:rsid w:val="1822454F"/>
    <w:rsid w:val="18333535"/>
    <w:rsid w:val="183341B9"/>
    <w:rsid w:val="18634DF6"/>
    <w:rsid w:val="187A1D9E"/>
    <w:rsid w:val="18820324"/>
    <w:rsid w:val="18A50CB7"/>
    <w:rsid w:val="18B13463"/>
    <w:rsid w:val="18E65685"/>
    <w:rsid w:val="1914050D"/>
    <w:rsid w:val="1958549F"/>
    <w:rsid w:val="195879D0"/>
    <w:rsid w:val="195A3193"/>
    <w:rsid w:val="19AA4242"/>
    <w:rsid w:val="19BC4B58"/>
    <w:rsid w:val="19CF469B"/>
    <w:rsid w:val="19D05BE3"/>
    <w:rsid w:val="19D52776"/>
    <w:rsid w:val="1A1507A9"/>
    <w:rsid w:val="1A4444C8"/>
    <w:rsid w:val="1A525DE6"/>
    <w:rsid w:val="1AB416E5"/>
    <w:rsid w:val="1AB60B86"/>
    <w:rsid w:val="1AD134B7"/>
    <w:rsid w:val="1AF47714"/>
    <w:rsid w:val="1B170560"/>
    <w:rsid w:val="1B1F3459"/>
    <w:rsid w:val="1B653350"/>
    <w:rsid w:val="1B6975F8"/>
    <w:rsid w:val="1B9E5A4E"/>
    <w:rsid w:val="1BBF4688"/>
    <w:rsid w:val="1BC826BB"/>
    <w:rsid w:val="1BD70F08"/>
    <w:rsid w:val="1BE55780"/>
    <w:rsid w:val="1BE7774A"/>
    <w:rsid w:val="1C0B2F1B"/>
    <w:rsid w:val="1C1E0B65"/>
    <w:rsid w:val="1C562B82"/>
    <w:rsid w:val="1C746CCC"/>
    <w:rsid w:val="1C787B29"/>
    <w:rsid w:val="1C881AAE"/>
    <w:rsid w:val="1C8A1D2D"/>
    <w:rsid w:val="1CE747E8"/>
    <w:rsid w:val="1CE857AA"/>
    <w:rsid w:val="1CF16C6E"/>
    <w:rsid w:val="1CFC5DE6"/>
    <w:rsid w:val="1D0434C5"/>
    <w:rsid w:val="1D086C88"/>
    <w:rsid w:val="1D0D1373"/>
    <w:rsid w:val="1D146EFA"/>
    <w:rsid w:val="1D3E15EC"/>
    <w:rsid w:val="1D426428"/>
    <w:rsid w:val="1D493559"/>
    <w:rsid w:val="1D4E7458"/>
    <w:rsid w:val="1D902485"/>
    <w:rsid w:val="1DC74A8F"/>
    <w:rsid w:val="1DCC55E5"/>
    <w:rsid w:val="1DD41DA7"/>
    <w:rsid w:val="1DD552AD"/>
    <w:rsid w:val="1E245B5E"/>
    <w:rsid w:val="1E552E4E"/>
    <w:rsid w:val="1E5C167A"/>
    <w:rsid w:val="1E611AB5"/>
    <w:rsid w:val="1E707ECB"/>
    <w:rsid w:val="1E871601"/>
    <w:rsid w:val="1E990819"/>
    <w:rsid w:val="1EBC3110"/>
    <w:rsid w:val="1ECA4C18"/>
    <w:rsid w:val="1ECB6391"/>
    <w:rsid w:val="1ECD20C6"/>
    <w:rsid w:val="1EE9320F"/>
    <w:rsid w:val="1EEF12E8"/>
    <w:rsid w:val="1EF15DF7"/>
    <w:rsid w:val="1F2455E1"/>
    <w:rsid w:val="1F30765A"/>
    <w:rsid w:val="1F3C480D"/>
    <w:rsid w:val="1F41332D"/>
    <w:rsid w:val="1F7E760D"/>
    <w:rsid w:val="1FB51B86"/>
    <w:rsid w:val="1FD9493A"/>
    <w:rsid w:val="1FD978C0"/>
    <w:rsid w:val="1FF00555"/>
    <w:rsid w:val="1FF468DA"/>
    <w:rsid w:val="1FF81E5E"/>
    <w:rsid w:val="20587071"/>
    <w:rsid w:val="20590E05"/>
    <w:rsid w:val="20591DE0"/>
    <w:rsid w:val="20615752"/>
    <w:rsid w:val="209A0C24"/>
    <w:rsid w:val="209A6248"/>
    <w:rsid w:val="20DA3B74"/>
    <w:rsid w:val="20F41728"/>
    <w:rsid w:val="21266D91"/>
    <w:rsid w:val="2151362A"/>
    <w:rsid w:val="216E7FC6"/>
    <w:rsid w:val="21963761"/>
    <w:rsid w:val="21A36FA1"/>
    <w:rsid w:val="21A779C4"/>
    <w:rsid w:val="21DC3C60"/>
    <w:rsid w:val="21FA234B"/>
    <w:rsid w:val="220D77DF"/>
    <w:rsid w:val="221369C8"/>
    <w:rsid w:val="224355EF"/>
    <w:rsid w:val="2265031E"/>
    <w:rsid w:val="227C0136"/>
    <w:rsid w:val="22837BBC"/>
    <w:rsid w:val="22B65431"/>
    <w:rsid w:val="22BA035C"/>
    <w:rsid w:val="22BD32FC"/>
    <w:rsid w:val="22CF5516"/>
    <w:rsid w:val="22DA368E"/>
    <w:rsid w:val="22E43DA0"/>
    <w:rsid w:val="22F63426"/>
    <w:rsid w:val="23045086"/>
    <w:rsid w:val="232A1EB6"/>
    <w:rsid w:val="233C3C6D"/>
    <w:rsid w:val="23571659"/>
    <w:rsid w:val="235C18F1"/>
    <w:rsid w:val="238A67DC"/>
    <w:rsid w:val="23963804"/>
    <w:rsid w:val="23BF196E"/>
    <w:rsid w:val="24032B9D"/>
    <w:rsid w:val="240D0CD1"/>
    <w:rsid w:val="245D3D17"/>
    <w:rsid w:val="24815A42"/>
    <w:rsid w:val="24970D8B"/>
    <w:rsid w:val="24B26BBB"/>
    <w:rsid w:val="24BB1CB3"/>
    <w:rsid w:val="24D27B36"/>
    <w:rsid w:val="24D66E91"/>
    <w:rsid w:val="24FD06A2"/>
    <w:rsid w:val="24FE32FE"/>
    <w:rsid w:val="25127C66"/>
    <w:rsid w:val="25190F38"/>
    <w:rsid w:val="2542292C"/>
    <w:rsid w:val="254E13DF"/>
    <w:rsid w:val="25747146"/>
    <w:rsid w:val="259C6811"/>
    <w:rsid w:val="25B8157E"/>
    <w:rsid w:val="25D366BE"/>
    <w:rsid w:val="25DE4A4C"/>
    <w:rsid w:val="25FF30B0"/>
    <w:rsid w:val="260A2C44"/>
    <w:rsid w:val="262E1002"/>
    <w:rsid w:val="2642191D"/>
    <w:rsid w:val="2671534B"/>
    <w:rsid w:val="26793695"/>
    <w:rsid w:val="267E6446"/>
    <w:rsid w:val="26904037"/>
    <w:rsid w:val="26A014CD"/>
    <w:rsid w:val="26B20DC1"/>
    <w:rsid w:val="26BA5A63"/>
    <w:rsid w:val="26E02DB4"/>
    <w:rsid w:val="26EC0A3E"/>
    <w:rsid w:val="26F83E6C"/>
    <w:rsid w:val="27035FC4"/>
    <w:rsid w:val="2714452F"/>
    <w:rsid w:val="27152096"/>
    <w:rsid w:val="272B6823"/>
    <w:rsid w:val="2741379C"/>
    <w:rsid w:val="27924CBA"/>
    <w:rsid w:val="27955E1C"/>
    <w:rsid w:val="27A4322B"/>
    <w:rsid w:val="27D22688"/>
    <w:rsid w:val="27D75D00"/>
    <w:rsid w:val="27E07F07"/>
    <w:rsid w:val="281713B7"/>
    <w:rsid w:val="28447CD2"/>
    <w:rsid w:val="28D85B6D"/>
    <w:rsid w:val="28F530E4"/>
    <w:rsid w:val="29134164"/>
    <w:rsid w:val="29323796"/>
    <w:rsid w:val="295A6884"/>
    <w:rsid w:val="29601E27"/>
    <w:rsid w:val="296243D3"/>
    <w:rsid w:val="29734AAC"/>
    <w:rsid w:val="297A3C08"/>
    <w:rsid w:val="29804366"/>
    <w:rsid w:val="29843232"/>
    <w:rsid w:val="29942D83"/>
    <w:rsid w:val="29B65342"/>
    <w:rsid w:val="29FB3C65"/>
    <w:rsid w:val="2A21641E"/>
    <w:rsid w:val="2A2E4796"/>
    <w:rsid w:val="2A381E60"/>
    <w:rsid w:val="2A3E2712"/>
    <w:rsid w:val="2A6D7E04"/>
    <w:rsid w:val="2A767CEA"/>
    <w:rsid w:val="2A79397A"/>
    <w:rsid w:val="2AB03937"/>
    <w:rsid w:val="2AB278C5"/>
    <w:rsid w:val="2AB71D8D"/>
    <w:rsid w:val="2B0A0D2B"/>
    <w:rsid w:val="2B0A192B"/>
    <w:rsid w:val="2B422313"/>
    <w:rsid w:val="2BA53010"/>
    <w:rsid w:val="2BB7762E"/>
    <w:rsid w:val="2BBA21BC"/>
    <w:rsid w:val="2C042F0E"/>
    <w:rsid w:val="2C484235"/>
    <w:rsid w:val="2CA81F64"/>
    <w:rsid w:val="2CAE7E10"/>
    <w:rsid w:val="2CD755B9"/>
    <w:rsid w:val="2CE77EA5"/>
    <w:rsid w:val="2D1406AE"/>
    <w:rsid w:val="2D157E8F"/>
    <w:rsid w:val="2D314C66"/>
    <w:rsid w:val="2D3E7502"/>
    <w:rsid w:val="2D525BF6"/>
    <w:rsid w:val="2D8D12E2"/>
    <w:rsid w:val="2D9F0A3B"/>
    <w:rsid w:val="2DA35AF5"/>
    <w:rsid w:val="2DC3167C"/>
    <w:rsid w:val="2DE37CBB"/>
    <w:rsid w:val="2DFC7B38"/>
    <w:rsid w:val="2E083E2E"/>
    <w:rsid w:val="2E3E1F36"/>
    <w:rsid w:val="2E6E2F5A"/>
    <w:rsid w:val="2E6F4419"/>
    <w:rsid w:val="2EEB24C2"/>
    <w:rsid w:val="2EFD6A52"/>
    <w:rsid w:val="2F0B4933"/>
    <w:rsid w:val="2F217729"/>
    <w:rsid w:val="2F395352"/>
    <w:rsid w:val="2F4508B0"/>
    <w:rsid w:val="2F587759"/>
    <w:rsid w:val="2F7610B9"/>
    <w:rsid w:val="2F7E085F"/>
    <w:rsid w:val="2F845937"/>
    <w:rsid w:val="2F8B61E7"/>
    <w:rsid w:val="2FC87BF1"/>
    <w:rsid w:val="2FCC6CD0"/>
    <w:rsid w:val="30024A1E"/>
    <w:rsid w:val="30374C2D"/>
    <w:rsid w:val="304C1E1A"/>
    <w:rsid w:val="307203F9"/>
    <w:rsid w:val="308B0290"/>
    <w:rsid w:val="30A11C64"/>
    <w:rsid w:val="30A92F37"/>
    <w:rsid w:val="30DC3195"/>
    <w:rsid w:val="30F41394"/>
    <w:rsid w:val="310D4613"/>
    <w:rsid w:val="311326E1"/>
    <w:rsid w:val="311C29DC"/>
    <w:rsid w:val="31323FBD"/>
    <w:rsid w:val="313C59EB"/>
    <w:rsid w:val="314825E1"/>
    <w:rsid w:val="314B5285"/>
    <w:rsid w:val="320415A4"/>
    <w:rsid w:val="320A0921"/>
    <w:rsid w:val="321E34B3"/>
    <w:rsid w:val="32247A21"/>
    <w:rsid w:val="322B5F34"/>
    <w:rsid w:val="322F210B"/>
    <w:rsid w:val="328A0BE7"/>
    <w:rsid w:val="328D6357"/>
    <w:rsid w:val="32C1319B"/>
    <w:rsid w:val="330C5AB2"/>
    <w:rsid w:val="33434F24"/>
    <w:rsid w:val="334747B4"/>
    <w:rsid w:val="33520FAD"/>
    <w:rsid w:val="335902BA"/>
    <w:rsid w:val="33737AC1"/>
    <w:rsid w:val="338B4A07"/>
    <w:rsid w:val="33AC2C6E"/>
    <w:rsid w:val="33C11408"/>
    <w:rsid w:val="33FE345E"/>
    <w:rsid w:val="34056779"/>
    <w:rsid w:val="340865BB"/>
    <w:rsid w:val="341B3FDD"/>
    <w:rsid w:val="34237336"/>
    <w:rsid w:val="344373AB"/>
    <w:rsid w:val="349A0815"/>
    <w:rsid w:val="34F211E2"/>
    <w:rsid w:val="34FB056F"/>
    <w:rsid w:val="35042165"/>
    <w:rsid w:val="350B4CA4"/>
    <w:rsid w:val="35173317"/>
    <w:rsid w:val="353C6F2B"/>
    <w:rsid w:val="35570E7D"/>
    <w:rsid w:val="35872A69"/>
    <w:rsid w:val="359964B6"/>
    <w:rsid w:val="359B5432"/>
    <w:rsid w:val="35C01764"/>
    <w:rsid w:val="35CE5853"/>
    <w:rsid w:val="35D6566C"/>
    <w:rsid w:val="35E34AF5"/>
    <w:rsid w:val="3606069D"/>
    <w:rsid w:val="36743FD1"/>
    <w:rsid w:val="36796287"/>
    <w:rsid w:val="368152D9"/>
    <w:rsid w:val="36884E86"/>
    <w:rsid w:val="3696733C"/>
    <w:rsid w:val="36B4665D"/>
    <w:rsid w:val="37055869"/>
    <w:rsid w:val="370A5779"/>
    <w:rsid w:val="37124AEF"/>
    <w:rsid w:val="372E0B1D"/>
    <w:rsid w:val="37741936"/>
    <w:rsid w:val="37757A4A"/>
    <w:rsid w:val="377C1D0E"/>
    <w:rsid w:val="379A33A4"/>
    <w:rsid w:val="379E158D"/>
    <w:rsid w:val="37A77231"/>
    <w:rsid w:val="37AA4D59"/>
    <w:rsid w:val="37E92569"/>
    <w:rsid w:val="37EC656F"/>
    <w:rsid w:val="37EE018B"/>
    <w:rsid w:val="380F53F7"/>
    <w:rsid w:val="382A2C79"/>
    <w:rsid w:val="385B3389"/>
    <w:rsid w:val="38940111"/>
    <w:rsid w:val="38A92EE4"/>
    <w:rsid w:val="38C91D6B"/>
    <w:rsid w:val="38EC419A"/>
    <w:rsid w:val="390742FE"/>
    <w:rsid w:val="391232D1"/>
    <w:rsid w:val="392A6381"/>
    <w:rsid w:val="392F5E20"/>
    <w:rsid w:val="39353457"/>
    <w:rsid w:val="39527856"/>
    <w:rsid w:val="39573A01"/>
    <w:rsid w:val="39771EF1"/>
    <w:rsid w:val="39B93A52"/>
    <w:rsid w:val="39C416CB"/>
    <w:rsid w:val="39C50BE8"/>
    <w:rsid w:val="39CE6402"/>
    <w:rsid w:val="39DB7F93"/>
    <w:rsid w:val="39DD1618"/>
    <w:rsid w:val="39F4571E"/>
    <w:rsid w:val="3A137C09"/>
    <w:rsid w:val="3A3046F4"/>
    <w:rsid w:val="3A33278E"/>
    <w:rsid w:val="3A38491B"/>
    <w:rsid w:val="3A4319E4"/>
    <w:rsid w:val="3A753A9B"/>
    <w:rsid w:val="3AF77157"/>
    <w:rsid w:val="3B0515D9"/>
    <w:rsid w:val="3B0D0170"/>
    <w:rsid w:val="3B1D0182"/>
    <w:rsid w:val="3B267B8F"/>
    <w:rsid w:val="3B3B24A5"/>
    <w:rsid w:val="3B6B264B"/>
    <w:rsid w:val="3B897AA2"/>
    <w:rsid w:val="3B97239C"/>
    <w:rsid w:val="3BA12BEE"/>
    <w:rsid w:val="3BA3035E"/>
    <w:rsid w:val="3BC96A15"/>
    <w:rsid w:val="3BE473AB"/>
    <w:rsid w:val="3BF27622"/>
    <w:rsid w:val="3C1F6205"/>
    <w:rsid w:val="3C3B0607"/>
    <w:rsid w:val="3C45330F"/>
    <w:rsid w:val="3C574BF5"/>
    <w:rsid w:val="3C5A141B"/>
    <w:rsid w:val="3C654AC1"/>
    <w:rsid w:val="3C6C0C42"/>
    <w:rsid w:val="3C6E4EC6"/>
    <w:rsid w:val="3C892D41"/>
    <w:rsid w:val="3C91065A"/>
    <w:rsid w:val="3CB82B68"/>
    <w:rsid w:val="3CCA2861"/>
    <w:rsid w:val="3CD236A7"/>
    <w:rsid w:val="3CD26618"/>
    <w:rsid w:val="3CDF7CF2"/>
    <w:rsid w:val="3CED46A2"/>
    <w:rsid w:val="3CF8135F"/>
    <w:rsid w:val="3D0738FC"/>
    <w:rsid w:val="3D20140D"/>
    <w:rsid w:val="3D605157"/>
    <w:rsid w:val="3D9414B3"/>
    <w:rsid w:val="3DC02A1E"/>
    <w:rsid w:val="3DC541EE"/>
    <w:rsid w:val="3DCC703F"/>
    <w:rsid w:val="3E035298"/>
    <w:rsid w:val="3EA07B69"/>
    <w:rsid w:val="3EC326CA"/>
    <w:rsid w:val="3ED83C10"/>
    <w:rsid w:val="3EE077BC"/>
    <w:rsid w:val="3EF135EA"/>
    <w:rsid w:val="3EF21722"/>
    <w:rsid w:val="3EF578FF"/>
    <w:rsid w:val="3F3F4CA2"/>
    <w:rsid w:val="3F841415"/>
    <w:rsid w:val="3F8E1DEF"/>
    <w:rsid w:val="3FB34D37"/>
    <w:rsid w:val="3FDB6DB5"/>
    <w:rsid w:val="3FFC28DE"/>
    <w:rsid w:val="406F6E7D"/>
    <w:rsid w:val="40BB2F81"/>
    <w:rsid w:val="40CF687B"/>
    <w:rsid w:val="40DE0F43"/>
    <w:rsid w:val="413134D9"/>
    <w:rsid w:val="41436133"/>
    <w:rsid w:val="41650A75"/>
    <w:rsid w:val="41EB4946"/>
    <w:rsid w:val="421E5C87"/>
    <w:rsid w:val="42261A32"/>
    <w:rsid w:val="427A7609"/>
    <w:rsid w:val="428305C6"/>
    <w:rsid w:val="428E1BAD"/>
    <w:rsid w:val="42B056DE"/>
    <w:rsid w:val="42C87B9B"/>
    <w:rsid w:val="42D32B9A"/>
    <w:rsid w:val="42D801F4"/>
    <w:rsid w:val="42E12A89"/>
    <w:rsid w:val="4302196D"/>
    <w:rsid w:val="43027ECB"/>
    <w:rsid w:val="43126E3A"/>
    <w:rsid w:val="431F48F3"/>
    <w:rsid w:val="432E71E4"/>
    <w:rsid w:val="434366BE"/>
    <w:rsid w:val="43554A24"/>
    <w:rsid w:val="435B6E63"/>
    <w:rsid w:val="43677840"/>
    <w:rsid w:val="437505DF"/>
    <w:rsid w:val="4377666A"/>
    <w:rsid w:val="438C7AB3"/>
    <w:rsid w:val="439E0887"/>
    <w:rsid w:val="43B16ADB"/>
    <w:rsid w:val="43BB09A9"/>
    <w:rsid w:val="43BF2E7E"/>
    <w:rsid w:val="43C37596"/>
    <w:rsid w:val="43CD5735"/>
    <w:rsid w:val="4413082D"/>
    <w:rsid w:val="44230EF8"/>
    <w:rsid w:val="443738CE"/>
    <w:rsid w:val="44684791"/>
    <w:rsid w:val="446B0346"/>
    <w:rsid w:val="44773F25"/>
    <w:rsid w:val="44D8151B"/>
    <w:rsid w:val="450D2552"/>
    <w:rsid w:val="450E633F"/>
    <w:rsid w:val="451A5BEB"/>
    <w:rsid w:val="454D1B2B"/>
    <w:rsid w:val="45A62D46"/>
    <w:rsid w:val="45D438D9"/>
    <w:rsid w:val="46172F73"/>
    <w:rsid w:val="46687FED"/>
    <w:rsid w:val="469D5D8A"/>
    <w:rsid w:val="46A467CD"/>
    <w:rsid w:val="46B560D4"/>
    <w:rsid w:val="46B80C41"/>
    <w:rsid w:val="46EF75A0"/>
    <w:rsid w:val="4725029C"/>
    <w:rsid w:val="473849EF"/>
    <w:rsid w:val="474D3775"/>
    <w:rsid w:val="47525BA2"/>
    <w:rsid w:val="47784F81"/>
    <w:rsid w:val="47806810"/>
    <w:rsid w:val="47977266"/>
    <w:rsid w:val="47A45C40"/>
    <w:rsid w:val="47A80F9B"/>
    <w:rsid w:val="47AB39EB"/>
    <w:rsid w:val="47AB67A3"/>
    <w:rsid w:val="47AC3F46"/>
    <w:rsid w:val="47BA3288"/>
    <w:rsid w:val="47D06137"/>
    <w:rsid w:val="47E462C2"/>
    <w:rsid w:val="47E715AE"/>
    <w:rsid w:val="47FC21E1"/>
    <w:rsid w:val="480B1AB3"/>
    <w:rsid w:val="480B2BE2"/>
    <w:rsid w:val="4818310D"/>
    <w:rsid w:val="48883C20"/>
    <w:rsid w:val="48AF07D8"/>
    <w:rsid w:val="48B82C4E"/>
    <w:rsid w:val="49210F69"/>
    <w:rsid w:val="492F31C0"/>
    <w:rsid w:val="495E1254"/>
    <w:rsid w:val="49634AD5"/>
    <w:rsid w:val="497D2710"/>
    <w:rsid w:val="49D905DA"/>
    <w:rsid w:val="49DB51F1"/>
    <w:rsid w:val="49DD302D"/>
    <w:rsid w:val="49E26F93"/>
    <w:rsid w:val="49E65F69"/>
    <w:rsid w:val="49E70720"/>
    <w:rsid w:val="49F06744"/>
    <w:rsid w:val="49FF6B0E"/>
    <w:rsid w:val="4A006F0F"/>
    <w:rsid w:val="4A05319B"/>
    <w:rsid w:val="4A1A7E40"/>
    <w:rsid w:val="4A2B1481"/>
    <w:rsid w:val="4A415754"/>
    <w:rsid w:val="4A4C516C"/>
    <w:rsid w:val="4A5D3A7D"/>
    <w:rsid w:val="4A806C30"/>
    <w:rsid w:val="4AA34B6A"/>
    <w:rsid w:val="4AB319B4"/>
    <w:rsid w:val="4AB346F3"/>
    <w:rsid w:val="4AC916CB"/>
    <w:rsid w:val="4ACF1023"/>
    <w:rsid w:val="4B0C5FD6"/>
    <w:rsid w:val="4B1D4FEA"/>
    <w:rsid w:val="4B3453EC"/>
    <w:rsid w:val="4B3A038C"/>
    <w:rsid w:val="4B4B3DF8"/>
    <w:rsid w:val="4B8774C1"/>
    <w:rsid w:val="4B8A10F4"/>
    <w:rsid w:val="4B960510"/>
    <w:rsid w:val="4B9714B7"/>
    <w:rsid w:val="4BB10A68"/>
    <w:rsid w:val="4BE740B1"/>
    <w:rsid w:val="4BF446F2"/>
    <w:rsid w:val="4C6D3732"/>
    <w:rsid w:val="4C814953"/>
    <w:rsid w:val="4C8237C1"/>
    <w:rsid w:val="4CCB6CD3"/>
    <w:rsid w:val="4CD07C03"/>
    <w:rsid w:val="4CED6BB8"/>
    <w:rsid w:val="4CFB27A6"/>
    <w:rsid w:val="4D275E0F"/>
    <w:rsid w:val="4D3751CC"/>
    <w:rsid w:val="4D7578DB"/>
    <w:rsid w:val="4D81655B"/>
    <w:rsid w:val="4D9218F9"/>
    <w:rsid w:val="4D963D3F"/>
    <w:rsid w:val="4DA40A69"/>
    <w:rsid w:val="4DED1F1A"/>
    <w:rsid w:val="4DFA11A0"/>
    <w:rsid w:val="4DFF6995"/>
    <w:rsid w:val="4E0A4ABF"/>
    <w:rsid w:val="4E7520E4"/>
    <w:rsid w:val="4EA23387"/>
    <w:rsid w:val="4EC87B4C"/>
    <w:rsid w:val="4ED06F29"/>
    <w:rsid w:val="4EE71C25"/>
    <w:rsid w:val="4EED40F8"/>
    <w:rsid w:val="4F0F3ADD"/>
    <w:rsid w:val="4F147D21"/>
    <w:rsid w:val="4F3500C5"/>
    <w:rsid w:val="4F4001FD"/>
    <w:rsid w:val="4F483F03"/>
    <w:rsid w:val="4F533A75"/>
    <w:rsid w:val="4F664CCE"/>
    <w:rsid w:val="4FA847D1"/>
    <w:rsid w:val="4FBA0E69"/>
    <w:rsid w:val="4FF260E2"/>
    <w:rsid w:val="4FF84D7B"/>
    <w:rsid w:val="50130CA2"/>
    <w:rsid w:val="501B1ED8"/>
    <w:rsid w:val="501C2765"/>
    <w:rsid w:val="5030727D"/>
    <w:rsid w:val="50795130"/>
    <w:rsid w:val="509443FE"/>
    <w:rsid w:val="50CD318D"/>
    <w:rsid w:val="50D0793D"/>
    <w:rsid w:val="50DC76F8"/>
    <w:rsid w:val="50F33523"/>
    <w:rsid w:val="51203A0B"/>
    <w:rsid w:val="51234079"/>
    <w:rsid w:val="512A54EC"/>
    <w:rsid w:val="51632272"/>
    <w:rsid w:val="51643D9A"/>
    <w:rsid w:val="516E0006"/>
    <w:rsid w:val="519C43D4"/>
    <w:rsid w:val="51AE2A3A"/>
    <w:rsid w:val="51D04D91"/>
    <w:rsid w:val="51DD06CC"/>
    <w:rsid w:val="51EE22AD"/>
    <w:rsid w:val="51FB0B52"/>
    <w:rsid w:val="5202173D"/>
    <w:rsid w:val="52082D18"/>
    <w:rsid w:val="520E7608"/>
    <w:rsid w:val="52343992"/>
    <w:rsid w:val="52386482"/>
    <w:rsid w:val="52444A2E"/>
    <w:rsid w:val="52637AED"/>
    <w:rsid w:val="528546E4"/>
    <w:rsid w:val="528B3B3A"/>
    <w:rsid w:val="5294630C"/>
    <w:rsid w:val="52A00CC0"/>
    <w:rsid w:val="53105749"/>
    <w:rsid w:val="53347E71"/>
    <w:rsid w:val="534E6A19"/>
    <w:rsid w:val="538F1721"/>
    <w:rsid w:val="53A7142E"/>
    <w:rsid w:val="53C0161B"/>
    <w:rsid w:val="54091C4C"/>
    <w:rsid w:val="541509B6"/>
    <w:rsid w:val="541974F4"/>
    <w:rsid w:val="54271E45"/>
    <w:rsid w:val="548C5E4E"/>
    <w:rsid w:val="5491004B"/>
    <w:rsid w:val="54CA3FB4"/>
    <w:rsid w:val="54F75F49"/>
    <w:rsid w:val="551331E0"/>
    <w:rsid w:val="551A5FD4"/>
    <w:rsid w:val="551E0849"/>
    <w:rsid w:val="55542FAA"/>
    <w:rsid w:val="55546EF7"/>
    <w:rsid w:val="558A46C7"/>
    <w:rsid w:val="558B56BB"/>
    <w:rsid w:val="558D68FD"/>
    <w:rsid w:val="559D111A"/>
    <w:rsid w:val="55F60337"/>
    <w:rsid w:val="55F93384"/>
    <w:rsid w:val="55FC7D95"/>
    <w:rsid w:val="56051FA0"/>
    <w:rsid w:val="560A1DDB"/>
    <w:rsid w:val="56B24617"/>
    <w:rsid w:val="56BD2031"/>
    <w:rsid w:val="56C62F3A"/>
    <w:rsid w:val="56D025AE"/>
    <w:rsid w:val="570A0DA0"/>
    <w:rsid w:val="572C34F5"/>
    <w:rsid w:val="57461F27"/>
    <w:rsid w:val="575660D4"/>
    <w:rsid w:val="575E20F1"/>
    <w:rsid w:val="57631D59"/>
    <w:rsid w:val="5798756F"/>
    <w:rsid w:val="57C020EC"/>
    <w:rsid w:val="57EB5437"/>
    <w:rsid w:val="581A7F84"/>
    <w:rsid w:val="5843554E"/>
    <w:rsid w:val="58524FE8"/>
    <w:rsid w:val="58692580"/>
    <w:rsid w:val="58767185"/>
    <w:rsid w:val="58A31388"/>
    <w:rsid w:val="58E80082"/>
    <w:rsid w:val="58F91BDA"/>
    <w:rsid w:val="58FF592F"/>
    <w:rsid w:val="59072E63"/>
    <w:rsid w:val="590B3C73"/>
    <w:rsid w:val="59165FE3"/>
    <w:rsid w:val="5920266D"/>
    <w:rsid w:val="59250D0E"/>
    <w:rsid w:val="59B87D5F"/>
    <w:rsid w:val="59C3464B"/>
    <w:rsid w:val="59EA63C5"/>
    <w:rsid w:val="59FF1114"/>
    <w:rsid w:val="59FF2DB9"/>
    <w:rsid w:val="5A1732FC"/>
    <w:rsid w:val="5A3054EA"/>
    <w:rsid w:val="5A3F4E5A"/>
    <w:rsid w:val="5A406B45"/>
    <w:rsid w:val="5A4A2AEA"/>
    <w:rsid w:val="5A7C4F3C"/>
    <w:rsid w:val="5AB86266"/>
    <w:rsid w:val="5AB954B2"/>
    <w:rsid w:val="5AC467BE"/>
    <w:rsid w:val="5AE13C4A"/>
    <w:rsid w:val="5B147122"/>
    <w:rsid w:val="5B42126D"/>
    <w:rsid w:val="5B8929E3"/>
    <w:rsid w:val="5BB8659E"/>
    <w:rsid w:val="5BD70451"/>
    <w:rsid w:val="5BE127B2"/>
    <w:rsid w:val="5BE512DF"/>
    <w:rsid w:val="5BE73184"/>
    <w:rsid w:val="5C1B7EDF"/>
    <w:rsid w:val="5C5123E2"/>
    <w:rsid w:val="5C5F04DB"/>
    <w:rsid w:val="5C761E49"/>
    <w:rsid w:val="5C816EA0"/>
    <w:rsid w:val="5CB5480D"/>
    <w:rsid w:val="5D24714E"/>
    <w:rsid w:val="5D303118"/>
    <w:rsid w:val="5D423BFB"/>
    <w:rsid w:val="5D626404"/>
    <w:rsid w:val="5D905A3A"/>
    <w:rsid w:val="5D9463ED"/>
    <w:rsid w:val="5DA331C8"/>
    <w:rsid w:val="5DFA637E"/>
    <w:rsid w:val="5DFE6564"/>
    <w:rsid w:val="5E132646"/>
    <w:rsid w:val="5E1C595F"/>
    <w:rsid w:val="5E26380D"/>
    <w:rsid w:val="5E2C1CB2"/>
    <w:rsid w:val="5E8E351C"/>
    <w:rsid w:val="5EBA301C"/>
    <w:rsid w:val="5EC74062"/>
    <w:rsid w:val="5EC82114"/>
    <w:rsid w:val="5EE025F1"/>
    <w:rsid w:val="5EFD51A9"/>
    <w:rsid w:val="5F283162"/>
    <w:rsid w:val="5F9916ED"/>
    <w:rsid w:val="5FC6155D"/>
    <w:rsid w:val="5FCC756C"/>
    <w:rsid w:val="5FDC1A7D"/>
    <w:rsid w:val="5FE25012"/>
    <w:rsid w:val="6028672A"/>
    <w:rsid w:val="60294FD0"/>
    <w:rsid w:val="605866FF"/>
    <w:rsid w:val="608C14C1"/>
    <w:rsid w:val="60BE1357"/>
    <w:rsid w:val="60D53B33"/>
    <w:rsid w:val="60D97683"/>
    <w:rsid w:val="60FC0BEF"/>
    <w:rsid w:val="61137F15"/>
    <w:rsid w:val="611D1A2D"/>
    <w:rsid w:val="61426D52"/>
    <w:rsid w:val="61700C15"/>
    <w:rsid w:val="61BA504D"/>
    <w:rsid w:val="61E0784E"/>
    <w:rsid w:val="62046444"/>
    <w:rsid w:val="621B77A7"/>
    <w:rsid w:val="622172C8"/>
    <w:rsid w:val="622C0189"/>
    <w:rsid w:val="623A3797"/>
    <w:rsid w:val="624C293B"/>
    <w:rsid w:val="625A579D"/>
    <w:rsid w:val="627B2119"/>
    <w:rsid w:val="628B0C45"/>
    <w:rsid w:val="62A062EA"/>
    <w:rsid w:val="62E278F5"/>
    <w:rsid w:val="62E73159"/>
    <w:rsid w:val="62F13E88"/>
    <w:rsid w:val="63810374"/>
    <w:rsid w:val="63C82F67"/>
    <w:rsid w:val="63D977B6"/>
    <w:rsid w:val="6417181C"/>
    <w:rsid w:val="645E2031"/>
    <w:rsid w:val="64D1684E"/>
    <w:rsid w:val="64F357CE"/>
    <w:rsid w:val="64F35D8A"/>
    <w:rsid w:val="64F55C15"/>
    <w:rsid w:val="651073EA"/>
    <w:rsid w:val="6545149D"/>
    <w:rsid w:val="65554CF2"/>
    <w:rsid w:val="65657B7C"/>
    <w:rsid w:val="658E7225"/>
    <w:rsid w:val="65CF165A"/>
    <w:rsid w:val="65D007A9"/>
    <w:rsid w:val="65D73958"/>
    <w:rsid w:val="65F30835"/>
    <w:rsid w:val="660D2ED6"/>
    <w:rsid w:val="66100A96"/>
    <w:rsid w:val="664460A9"/>
    <w:rsid w:val="664C0BF0"/>
    <w:rsid w:val="66742F55"/>
    <w:rsid w:val="66750C62"/>
    <w:rsid w:val="66887A48"/>
    <w:rsid w:val="66B0366C"/>
    <w:rsid w:val="66B9305E"/>
    <w:rsid w:val="671063CC"/>
    <w:rsid w:val="6748394B"/>
    <w:rsid w:val="675E250F"/>
    <w:rsid w:val="67630988"/>
    <w:rsid w:val="67734470"/>
    <w:rsid w:val="67997506"/>
    <w:rsid w:val="67B02AD3"/>
    <w:rsid w:val="67BA1DF3"/>
    <w:rsid w:val="67D5211A"/>
    <w:rsid w:val="681349F0"/>
    <w:rsid w:val="682A045B"/>
    <w:rsid w:val="6861127C"/>
    <w:rsid w:val="688D6169"/>
    <w:rsid w:val="68AF03D2"/>
    <w:rsid w:val="68D777CC"/>
    <w:rsid w:val="6929602A"/>
    <w:rsid w:val="693B63C8"/>
    <w:rsid w:val="693F5A6C"/>
    <w:rsid w:val="694D7A8E"/>
    <w:rsid w:val="695F0D10"/>
    <w:rsid w:val="697E5698"/>
    <w:rsid w:val="698770C7"/>
    <w:rsid w:val="698A0CE2"/>
    <w:rsid w:val="699B033C"/>
    <w:rsid w:val="69A753F0"/>
    <w:rsid w:val="69BB1F1A"/>
    <w:rsid w:val="69BD70AC"/>
    <w:rsid w:val="69C4103A"/>
    <w:rsid w:val="69EC3CFE"/>
    <w:rsid w:val="69ED40EB"/>
    <w:rsid w:val="6A3A5A3F"/>
    <w:rsid w:val="6A3B6A80"/>
    <w:rsid w:val="6A471025"/>
    <w:rsid w:val="6A5172BE"/>
    <w:rsid w:val="6A8219B9"/>
    <w:rsid w:val="6A955976"/>
    <w:rsid w:val="6AA23822"/>
    <w:rsid w:val="6AA811EE"/>
    <w:rsid w:val="6AAD6A36"/>
    <w:rsid w:val="6AC23F3A"/>
    <w:rsid w:val="6AD76A22"/>
    <w:rsid w:val="6AEE60C0"/>
    <w:rsid w:val="6B1C19E6"/>
    <w:rsid w:val="6B286611"/>
    <w:rsid w:val="6B3A1AEA"/>
    <w:rsid w:val="6B430C1C"/>
    <w:rsid w:val="6B6B7AB1"/>
    <w:rsid w:val="6B73731F"/>
    <w:rsid w:val="6B772DFD"/>
    <w:rsid w:val="6B8266A0"/>
    <w:rsid w:val="6B873FD8"/>
    <w:rsid w:val="6BAA5F25"/>
    <w:rsid w:val="6BB15D6A"/>
    <w:rsid w:val="6BB31999"/>
    <w:rsid w:val="6BDB6DE9"/>
    <w:rsid w:val="6C134CB6"/>
    <w:rsid w:val="6C4C7D4F"/>
    <w:rsid w:val="6C783682"/>
    <w:rsid w:val="6CB32E59"/>
    <w:rsid w:val="6CE31BDA"/>
    <w:rsid w:val="6CED2EFB"/>
    <w:rsid w:val="6D2252DF"/>
    <w:rsid w:val="6DA41AF6"/>
    <w:rsid w:val="6DA8623D"/>
    <w:rsid w:val="6DC85C16"/>
    <w:rsid w:val="6DC97499"/>
    <w:rsid w:val="6E0A11FC"/>
    <w:rsid w:val="6E15386F"/>
    <w:rsid w:val="6E331948"/>
    <w:rsid w:val="6E3B25AB"/>
    <w:rsid w:val="6E3C7B14"/>
    <w:rsid w:val="6E3E6F3A"/>
    <w:rsid w:val="6E625EA9"/>
    <w:rsid w:val="6E6E35F6"/>
    <w:rsid w:val="6E967F45"/>
    <w:rsid w:val="6E9D4F51"/>
    <w:rsid w:val="6EA32441"/>
    <w:rsid w:val="6EBB7D09"/>
    <w:rsid w:val="6ECE2D4E"/>
    <w:rsid w:val="6EDF1FCC"/>
    <w:rsid w:val="6EEA46FD"/>
    <w:rsid w:val="6F04530B"/>
    <w:rsid w:val="6F402272"/>
    <w:rsid w:val="6F5A2905"/>
    <w:rsid w:val="6F5F1F0A"/>
    <w:rsid w:val="6F6A6295"/>
    <w:rsid w:val="6F7B5538"/>
    <w:rsid w:val="6F8D2F27"/>
    <w:rsid w:val="6FA92748"/>
    <w:rsid w:val="6FC353FA"/>
    <w:rsid w:val="6FCF1250"/>
    <w:rsid w:val="6FF63A29"/>
    <w:rsid w:val="70322E61"/>
    <w:rsid w:val="7041601D"/>
    <w:rsid w:val="704E0E93"/>
    <w:rsid w:val="704F6F81"/>
    <w:rsid w:val="705067E1"/>
    <w:rsid w:val="706605DE"/>
    <w:rsid w:val="706F6F2F"/>
    <w:rsid w:val="707A1AB0"/>
    <w:rsid w:val="708D3087"/>
    <w:rsid w:val="709478EA"/>
    <w:rsid w:val="70A3756A"/>
    <w:rsid w:val="70C656CC"/>
    <w:rsid w:val="70F019CB"/>
    <w:rsid w:val="70F86889"/>
    <w:rsid w:val="71141E68"/>
    <w:rsid w:val="712301F3"/>
    <w:rsid w:val="713B4DBA"/>
    <w:rsid w:val="715E6DE6"/>
    <w:rsid w:val="71621E4D"/>
    <w:rsid w:val="7186020E"/>
    <w:rsid w:val="718E71A2"/>
    <w:rsid w:val="71AF345F"/>
    <w:rsid w:val="71C93741"/>
    <w:rsid w:val="71DB6BBD"/>
    <w:rsid w:val="71F55FFA"/>
    <w:rsid w:val="723D3F78"/>
    <w:rsid w:val="72532E92"/>
    <w:rsid w:val="725609A4"/>
    <w:rsid w:val="728E40E5"/>
    <w:rsid w:val="72A967F4"/>
    <w:rsid w:val="730A605E"/>
    <w:rsid w:val="731D1C5E"/>
    <w:rsid w:val="735E7EBC"/>
    <w:rsid w:val="7376710B"/>
    <w:rsid w:val="739961FD"/>
    <w:rsid w:val="739D6F86"/>
    <w:rsid w:val="73B87917"/>
    <w:rsid w:val="73C8669E"/>
    <w:rsid w:val="73FB2459"/>
    <w:rsid w:val="74093565"/>
    <w:rsid w:val="740E1841"/>
    <w:rsid w:val="74152840"/>
    <w:rsid w:val="744778DA"/>
    <w:rsid w:val="74514DE9"/>
    <w:rsid w:val="74622BD6"/>
    <w:rsid w:val="74643312"/>
    <w:rsid w:val="74645327"/>
    <w:rsid w:val="74C57845"/>
    <w:rsid w:val="74C7089C"/>
    <w:rsid w:val="74EB2DE5"/>
    <w:rsid w:val="750227D8"/>
    <w:rsid w:val="75204E7E"/>
    <w:rsid w:val="75757421"/>
    <w:rsid w:val="75B4336E"/>
    <w:rsid w:val="75B9759E"/>
    <w:rsid w:val="75E5579F"/>
    <w:rsid w:val="760342F6"/>
    <w:rsid w:val="760B03EC"/>
    <w:rsid w:val="761272C6"/>
    <w:rsid w:val="76324CA1"/>
    <w:rsid w:val="76360CB3"/>
    <w:rsid w:val="765406AD"/>
    <w:rsid w:val="767C19B2"/>
    <w:rsid w:val="767F0249"/>
    <w:rsid w:val="768C0DA9"/>
    <w:rsid w:val="76C72718"/>
    <w:rsid w:val="76C750C8"/>
    <w:rsid w:val="772910F7"/>
    <w:rsid w:val="7740569B"/>
    <w:rsid w:val="775D6809"/>
    <w:rsid w:val="7773079B"/>
    <w:rsid w:val="777F6066"/>
    <w:rsid w:val="77800DF3"/>
    <w:rsid w:val="779C628E"/>
    <w:rsid w:val="77CF1BD8"/>
    <w:rsid w:val="77E15A2F"/>
    <w:rsid w:val="77FC2ADA"/>
    <w:rsid w:val="78024318"/>
    <w:rsid w:val="780F066E"/>
    <w:rsid w:val="7815362A"/>
    <w:rsid w:val="78504CD2"/>
    <w:rsid w:val="785B49EB"/>
    <w:rsid w:val="785B4E99"/>
    <w:rsid w:val="786E187E"/>
    <w:rsid w:val="78953982"/>
    <w:rsid w:val="7898433A"/>
    <w:rsid w:val="789B5EE5"/>
    <w:rsid w:val="78AE280B"/>
    <w:rsid w:val="78BD5331"/>
    <w:rsid w:val="78DB5CE0"/>
    <w:rsid w:val="78E42D54"/>
    <w:rsid w:val="78F23BB2"/>
    <w:rsid w:val="791D268E"/>
    <w:rsid w:val="79327658"/>
    <w:rsid w:val="79505C96"/>
    <w:rsid w:val="79B231B6"/>
    <w:rsid w:val="79DF5ACA"/>
    <w:rsid w:val="79F803FE"/>
    <w:rsid w:val="7A3E3B4E"/>
    <w:rsid w:val="7A4E1DD8"/>
    <w:rsid w:val="7A600FFF"/>
    <w:rsid w:val="7A6D5F16"/>
    <w:rsid w:val="7A727D0D"/>
    <w:rsid w:val="7A89503B"/>
    <w:rsid w:val="7AA04D36"/>
    <w:rsid w:val="7AA6378F"/>
    <w:rsid w:val="7AD3526A"/>
    <w:rsid w:val="7B1328B4"/>
    <w:rsid w:val="7B51165F"/>
    <w:rsid w:val="7B9B5964"/>
    <w:rsid w:val="7BBB4CB5"/>
    <w:rsid w:val="7BCD2FA4"/>
    <w:rsid w:val="7BD45209"/>
    <w:rsid w:val="7C045EF4"/>
    <w:rsid w:val="7C122321"/>
    <w:rsid w:val="7C2473F1"/>
    <w:rsid w:val="7C2F6961"/>
    <w:rsid w:val="7C393ABB"/>
    <w:rsid w:val="7C495D75"/>
    <w:rsid w:val="7C6258D4"/>
    <w:rsid w:val="7CA81D1F"/>
    <w:rsid w:val="7CB36453"/>
    <w:rsid w:val="7CCE49D1"/>
    <w:rsid w:val="7CD14BC6"/>
    <w:rsid w:val="7CEC1B45"/>
    <w:rsid w:val="7CEC41C3"/>
    <w:rsid w:val="7CF3131D"/>
    <w:rsid w:val="7D1372EE"/>
    <w:rsid w:val="7D1876FE"/>
    <w:rsid w:val="7D413AC7"/>
    <w:rsid w:val="7D5D5ACA"/>
    <w:rsid w:val="7D76358E"/>
    <w:rsid w:val="7D80447E"/>
    <w:rsid w:val="7D8152BB"/>
    <w:rsid w:val="7D8D18F0"/>
    <w:rsid w:val="7D9858D7"/>
    <w:rsid w:val="7DAA424A"/>
    <w:rsid w:val="7DBE5BDC"/>
    <w:rsid w:val="7DF43C13"/>
    <w:rsid w:val="7E185D5A"/>
    <w:rsid w:val="7E425E1A"/>
    <w:rsid w:val="7E567B60"/>
    <w:rsid w:val="7E590796"/>
    <w:rsid w:val="7E596A7F"/>
    <w:rsid w:val="7E5B2D53"/>
    <w:rsid w:val="7E5E2D8D"/>
    <w:rsid w:val="7E665422"/>
    <w:rsid w:val="7E950E0E"/>
    <w:rsid w:val="7E966721"/>
    <w:rsid w:val="7EB91722"/>
    <w:rsid w:val="7EDB4137"/>
    <w:rsid w:val="7EF215B9"/>
    <w:rsid w:val="7EF66A7E"/>
    <w:rsid w:val="7F1F30F2"/>
    <w:rsid w:val="7F4326A1"/>
    <w:rsid w:val="7F57051A"/>
    <w:rsid w:val="7FAD287F"/>
    <w:rsid w:val="7FF5501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kern w:val="2"/>
      <w:sz w:val="32"/>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21"/>
    <w:uiPriority w:val="0"/>
    <w:rPr>
      <w:rFonts w:hint="eastAsia" w:ascii="宋体" w:hAnsi="宋体" w:eastAsia="宋体" w:cs="宋体"/>
      <w:color w:val="000000"/>
      <w:sz w:val="18"/>
      <w:szCs w:val="18"/>
      <w:u w:val="none"/>
    </w:rPr>
  </w:style>
  <w:style w:type="character" w:customStyle="1" w:styleId="10">
    <w:name w:val="font11"/>
    <w:uiPriority w:val="0"/>
    <w:rPr>
      <w:rFonts w:hint="eastAsia" w:ascii="宋体" w:hAnsi="宋体" w:eastAsia="宋体" w:cs="宋体"/>
      <w:color w:val="FF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2153</Words>
  <Characters>2250</Characters>
  <Lines>14</Lines>
  <Paragraphs>4</Paragraphs>
  <TotalTime>31</TotalTime>
  <ScaleCrop>false</ScaleCrop>
  <LinksUpToDate>false</LinksUpToDate>
  <CharactersWithSpaces>2256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2020-10-12T06:22:00Z</dcterms:created>
  <dc:creator>fc</dc:creator>
  <cp:lastModifiedBy>feiyu</cp:lastModifiedBy>
  <cp:lastPrinted>2021-04-12T05:16:13Z</cp:lastPrinted>
  <dcterms:modified xsi:type="dcterms:W3CDTF">2026-03-17T08:25:26Z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CB55A86EDDC1406EB2B139A69676F73F_13</vt:lpwstr>
  </property>
</Properties>
</file>